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351d424b7.htm"/>
        <w:bookmarkStart w:id="1" w:name="ksd158351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333-297985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5,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80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8075" cy="762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13,453,613 Shares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Underlying OP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The 13,453,613 shares of our common stock, par value $.01 per share, that we may issue pursuant to this prospectus supplement and the accompanying prospectus were previously included in (i) a prospectus supplement dated July 2, 2010 and an accompanying prospectus to our registration statement on Form S-3 that we filed with the Securities and Exchange Commission (the “SEC”) on November 26, 2008 under File No. 333-155742 (the “Original Registration Statement”), (ii) in a prospectus supplement dated September 9, 2011 and an accompanying prospectus to our registration statement on Form S-3 that we filed with the SEC on September 9, 2011 under File No. 333-176762 (the “Second Registration Statement”), (iii) in a prospectus supplement dated August 20, 2014 and an accompanying prospectus to our registration statement on Form S-3 that we filed with the SEC on August 20, 2014 under File No. 333-198260 (the “Third Registration Statement”), (iv) in a prospectus supplement dated August 10, 2017 and an accompanying prospectus to our registration statement on Form S-3 that we filed with the SEC on August 10, 2017 under File No. 333-219872 (the “Fourth Registration Statement”), (v) in a prospectus supplement dated August 5, 2020 and an accompanying prospectus to our registration statement on Form S-3 that we filed with the SEC on August 5, 2020 under File No. 333-240975 (the “Fifth Registration Statement”) and (vi) in a prospectus supplement dated August 4, 2023 and an accompanying prospectus to our registration statement on Form S-3 that we filed with the SEC on August 4, 2023 under File No. 333-273707 (the “Sixth Registration Statement”). The Original Registration Statement filed on November 26, 2008 terminated upon the effectiveness on September 9, 2011 of the Second Registration Statement. The Second Registration Statement terminated upon the effectiveness on August 20, 2014 of the Third Registration Statement. The Third Registration Statement terminated upon the effectiveness on August 10, 2017 of the Fourth Registration Statement. The Fourth Registration Statement terminated upon the effectiveness on August 5, 2020 of the Fifth Registration Statement. The Fifth Registration Statement terminated upon the effectiveness on August 4, 2023 of the Sixth Registration Statement. The Sixth Registration Statement terminated upon the effectiveness of the registration statement on Form S-3 of which this prospectus supplement is a part.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supplement is a supplement to the accompanying prospectus and relates to the holders of our common units of limited partnership interest, or “OP units,” in The Macerich Partnership, L.P. (the “Operating Partnership”) named herein (the “OP unit holders”). The OP units may be redeemed at the request of the OP unit holder and we may elect to redeem them for cash or shares of our common stock on a one-for-one basis. Currently, there are no outstanding redemption requests from the OP unit holders.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supplement covers the potential offer and sale, from time to time, by the OP unit holders of up to 13,453,613 shares of our common stock that may be issued to such OP unit holders upon redemption of an equal number of OP units. The OP unit holders may only offer these shares of our common stock if upon any request for redemption we exercise our right to issue our common stock to them instead of paying a cash amount. The registration of the shares of our common stock covered by this prospectus supplement satisfies any contractual obligation, but does not necessarily mean that any of the holders of OP units will exercise their redemption rights or that upon any such redemption we will elect, in our sole and absolute discretion, to redeem some or all of the OP units for shares of our common stock instead of paying a cash amount. </w:t>
      </w:r>
    </w:p>
    <w:p>
      <w:pPr>
        <w:pStyle w:val="TextBody"/>
        <w:bidi w:val="0"/>
        <w:spacing w:before="240" w:after="0"/>
        <w:jc w:val="left"/>
        <w:rPr>
          <w:rFonts w:ascii="Times New Roman" w:hAnsi="Times New Roman"/>
          <w:sz w:val="19"/>
        </w:rPr>
      </w:pPr>
      <w:r>
        <w:rPr>
          <w:rFonts w:ascii="Times New Roman" w:hAnsi="Times New Roman"/>
          <w:sz w:val="19"/>
        </w:rPr>
        <w:t>The OP unit holders will act independently in making decisions with respect to the timing, manner and size of any sale or non-sale related transfer. The OP unit holders may sell these shares in one or more transactions at the market price for our common stock prevailing at the time of sale, a price related to the prevailing market price, a negotiated price or such other price as the OP unit holders determine from time to time. See “</w:t>
      </w:r>
      <w:r>
        <w:rPr>
          <w:rFonts w:ascii="Times New Roman" w:hAnsi="Times New Roman"/>
          <w:i/>
          <w:sz w:val="19"/>
        </w:rPr>
        <w:t>Plan of Distribution.</w:t>
      </w:r>
      <w:r>
        <w:rPr>
          <w:rFonts w:ascii="Times New Roman" w:hAnsi="Times New Roman"/>
          <w:sz w:val="19"/>
        </w:rPr>
        <w:t xml:space="preserve">” Our common stock trades on the New York Stock Exchange (the “NYSE”) under the symbol “MAC.” On August 4, 2026, the last reported sale price of our common stock on the NYSE was $25.62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common stock involves risks. See “</w:t>
      </w:r>
      <w:hyperlink w:anchor="supptx158351_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S-3.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by the OP unit holders of the common stock. We will pay all expenses of the registration of the common stock and certain other expenses.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1"/>
        <w:gridCol w:w="161"/>
        <w:gridCol w:w="75"/>
        <w:gridCol w:w="445"/>
        <w:gridCol w:w="63"/>
      </w:tblGrid>
      <w:tr>
        <w:trPr/>
        <w:tc>
          <w:tcPr>
            <w:tcW w:w="946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1">
              <w:r>
                <w:rPr>
                  <w:rStyle w:val="InternetLink"/>
                  <w:rFonts w:ascii="Times New Roman" w:hAnsi="Times New Roman"/>
                  <w:sz w:val="20"/>
                </w:rPr>
                <w:t>SUMMARY</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2">
              <w:r>
                <w:rPr>
                  <w:rStyle w:val="InternetLink"/>
                  <w:rFonts w:ascii="Times New Roman" w:hAnsi="Times New Roman"/>
                  <w:sz w:val="20"/>
                </w:rPr>
                <w:t>RISK FACTORS</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3">
              <w:r>
                <w:rPr>
                  <w:rStyle w:val="InternetLink"/>
                  <w:rFonts w:ascii="Times New Roman" w:hAnsi="Times New Roman"/>
                  <w:sz w:val="20"/>
                </w:rPr>
                <w:t>USE OF PROCEEDS</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4">
              <w:r>
                <w:rPr>
                  <w:rStyle w:val="InternetLink"/>
                  <w:rFonts w:ascii="Times New Roman" w:hAnsi="Times New Roman"/>
                  <w:sz w:val="20"/>
                </w:rPr>
                <w:t>OP UNIT HOLDERS</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5">
              <w:r>
                <w:rPr>
                  <w:rStyle w:val="InternetLink"/>
                  <w:rFonts w:ascii="Times New Roman" w:hAnsi="Times New Roman"/>
                  <w:sz w:val="20"/>
                </w:rPr>
                <w:t>PLAN OF DISTRIBUTION</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6">
              <w:r>
                <w:rPr>
                  <w:rStyle w:val="InternetLink"/>
                  <w:rFonts w:ascii="Times New Roman" w:hAnsi="Times New Roman"/>
                  <w:sz w:val="20"/>
                </w:rPr>
                <w:t>LEGAL MATTERS</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c>
          <w:tcPr>
            <w:tcW w:w="9461" w:type="dxa"/>
            <w:tcBorders/>
          </w:tcPr>
          <w:p>
            <w:pPr>
              <w:pStyle w:val="TableContents"/>
              <w:bidi w:val="0"/>
              <w:spacing w:before="0" w:after="0"/>
              <w:jc w:val="left"/>
              <w:rPr/>
            </w:pPr>
            <w:hyperlink w:anchor="supptx158351_7">
              <w:r>
                <w:rPr>
                  <w:rStyle w:val="InternetLink"/>
                  <w:rFonts w:ascii="Times New Roman" w:hAnsi="Times New Roman"/>
                  <w:sz w:val="20"/>
                </w:rPr>
                <w:t>WHERE YOU CAN FIND MORE INFORMATION AND INCORPORATION BY REFERENCE</w:t>
              </w:r>
            </w:hyperlink>
          </w:p>
        </w:tc>
        <w:tc>
          <w:tcPr>
            <w:tcW w:w="16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relates to the potential offer and sale, from time to time, by the OP unit holders of shares of our common stock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resale of shares of our common stock.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and the accompanying prospectus. We have not authorized anyone to provide you with information that is different from that contained or incorporated by reference in this prospectus supplement or the accompanying prospectus. The offering of the shares may be restricted by law in certain non-U.S. jurisdictions. This prospectus supplement is not an offer to sell nor does it seek an offer to buy any shares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8351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real estate investment trust (“REIT”) and we conduct all of our operations through the Operating Partnership and our management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04"/>
        <w:gridCol w:w="122"/>
        <w:gridCol w:w="6479"/>
      </w:tblGrid>
      <w:tr>
        <w:trPr/>
        <w:tc>
          <w:tcPr>
            <w:tcW w:w="36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79" w:type="dxa"/>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pPr>
            <w:r>
              <w:rPr/>
              <w:t>Securities offered</w:t>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Up to 13,453,613 shares of our common stock that may be issued to the OP unit holders upon redemption for an equal number of OP units of the Operating Partnership. Currently, there are no outstanding redemption requests from the OP unit holders.</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6601" w:type="dxa"/>
            <w:gridSpan w:val="2"/>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The Operating Partnership issued 3,776,749 of the OP units to the OP unit holders from 1994 through 2000 in connection with various acquisitions by the Operating Partnership.</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6601" w:type="dxa"/>
            <w:gridSpan w:val="2"/>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The Operating Partnership issued 6,728,850 of the OP units to the OP unit holders from 2006 through 2026 in connection with the conversion of a class of limited partnership units (“LTIP units”) issued under The Macerich Company 2003 Equity Incentive Plan, as amended and restated (the “Incentive Plan”).</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6601" w:type="dxa"/>
            <w:gridSpan w:val="2"/>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The Operating Partnership issued 373,063 of the OP units to the OP unit holders and LTIP unit holders as a part of the distribution payment of $0.50 per OP unit and LTIP unit paid on June 3, 2020.</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6601" w:type="dxa"/>
            <w:gridSpan w:val="2"/>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2,574,951 of the OP units may be issued upon conversion of outstanding LTIP units issued from 2006 through 2026 under the Incentive Plan.</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6601" w:type="dxa"/>
            <w:gridSpan w:val="2"/>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9" w:type="dxa"/>
            <w:tcBorders/>
          </w:tcPr>
          <w:p>
            <w:pPr>
              <w:pStyle w:val="TableContents"/>
              <w:bidi w:val="0"/>
              <w:spacing w:before="0" w:after="283"/>
              <w:jc w:val="left"/>
              <w:rPr/>
            </w:pPr>
            <w:r>
              <w:rPr/>
              <w:t>Pursuant to the Amended and Restated Limited Partnership Agreement of the Operating Partnership, as amended (the “Operating Partnership Agreement”), holders of OP units may tender their OP units for a cash amount equal to the value of an equivalent number of shares of our common stock. In lieu of paying a cash amount, however, we may, at our option, choose to acquire any OP units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88"/>
        <w:gridCol w:w="122"/>
        <w:gridCol w:w="6495"/>
      </w:tblGrid>
      <w:tr>
        <w:trPr/>
        <w:tc>
          <w:tcPr>
            <w:tcW w:w="358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9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588" w:type="dxa"/>
            <w:tcBorders/>
            <w:vAlign w:val="center"/>
          </w:tcPr>
          <w:p>
            <w:pPr>
              <w:pStyle w:val="TableContents"/>
              <w:bidi w:val="0"/>
              <w:spacing w:before="0" w:after="283"/>
              <w:jc w:val="left"/>
              <w:rPr>
                <w:sz w:val="4"/>
                <w:szCs w:val="4"/>
              </w:rPr>
            </w:pPr>
            <w:r>
              <w:rPr>
                <w:sz w:val="4"/>
                <w:szCs w:val="4"/>
              </w:rPr>
            </w:r>
          </w:p>
        </w:tc>
        <w:tc>
          <w:tcPr>
            <w:tcW w:w="6617" w:type="dxa"/>
            <w:gridSpan w:val="2"/>
            <w:tcBorders/>
            <w:vAlign w:val="center"/>
          </w:tcPr>
          <w:p>
            <w:pPr>
              <w:pStyle w:val="TableContents"/>
              <w:bidi w:val="0"/>
              <w:spacing w:before="0" w:after="283"/>
              <w:jc w:val="left"/>
              <w:rPr>
                <w:sz w:val="4"/>
                <w:szCs w:val="4"/>
              </w:rPr>
            </w:pPr>
            <w:r>
              <w:rPr>
                <w:sz w:val="4"/>
                <w:szCs w:val="4"/>
              </w:rPr>
            </w:r>
          </w:p>
        </w:tc>
      </w:tr>
      <w:tr>
        <w:trPr/>
        <w:tc>
          <w:tcPr>
            <w:tcW w:w="358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95" w:type="dxa"/>
            <w:tcBorders/>
          </w:tcPr>
          <w:p>
            <w:pPr>
              <w:pStyle w:val="TableContents"/>
              <w:bidi w:val="0"/>
              <w:spacing w:before="0" w:after="0"/>
              <w:jc w:val="left"/>
              <w:rPr>
                <w:rFonts w:ascii="Times New Roman" w:hAnsi="Times New Roman"/>
                <w:sz w:val="20"/>
              </w:rPr>
            </w:pPr>
            <w:r>
              <w:rPr>
                <w:rFonts w:ascii="Times New Roman" w:hAnsi="Times New Roman"/>
                <w:sz w:val="20"/>
              </w:rPr>
              <w:t>so tendered by issuing common stock upon redemption of such OP units. The OP units are redeemable for shares of our common stock on a one-for-one basis. Under the terms of the Operating Partnership Agreement, these OP units were not redeemable until after the first anniversary of the issuance date of such OP units.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registration of the shares of our common stock covered by this prospectus supplement satisfies any contractual obligation, but does not necessarily mean that (i) any of the holders of 13,453,613 OP units will exercise their redemption rights, (ii) upon any such redemption we will elect, in our sole and absolute discretion, to redeem some or all of such OP units for shares of our common stock instead of paying a cash amount or (iii) if any of the holders of such OP units receive shares of our common stock upon redemption of their OP units that they will sell such shares.</w:t>
            </w:r>
          </w:p>
        </w:tc>
      </w:tr>
      <w:tr>
        <w:trPr>
          <w:trHeight w:val="120" w:hRule="atLeast"/>
        </w:trPr>
        <w:tc>
          <w:tcPr>
            <w:tcW w:w="3588" w:type="dxa"/>
            <w:tcBorders/>
            <w:vAlign w:val="center"/>
          </w:tcPr>
          <w:p>
            <w:pPr>
              <w:pStyle w:val="TableContents"/>
              <w:bidi w:val="0"/>
              <w:spacing w:before="0" w:after="283"/>
              <w:jc w:val="left"/>
              <w:rPr>
                <w:sz w:val="4"/>
                <w:szCs w:val="4"/>
              </w:rPr>
            </w:pPr>
            <w:r>
              <w:rPr>
                <w:sz w:val="4"/>
                <w:szCs w:val="4"/>
              </w:rPr>
            </w:r>
          </w:p>
        </w:tc>
        <w:tc>
          <w:tcPr>
            <w:tcW w:w="6617" w:type="dxa"/>
            <w:gridSpan w:val="2"/>
            <w:tcBorders/>
            <w:vAlign w:val="center"/>
          </w:tcPr>
          <w:p>
            <w:pPr>
              <w:pStyle w:val="TableContents"/>
              <w:bidi w:val="0"/>
              <w:spacing w:before="0" w:after="283"/>
              <w:jc w:val="left"/>
              <w:rPr>
                <w:sz w:val="4"/>
                <w:szCs w:val="4"/>
              </w:rPr>
            </w:pPr>
            <w:r>
              <w:rPr>
                <w:sz w:val="4"/>
                <w:szCs w:val="4"/>
              </w:rPr>
            </w:r>
          </w:p>
        </w:tc>
      </w:tr>
      <w:tr>
        <w:trPr/>
        <w:tc>
          <w:tcPr>
            <w:tcW w:w="3588" w:type="dxa"/>
            <w:tcBorders/>
          </w:tcPr>
          <w:p>
            <w:pPr>
              <w:pStyle w:val="TableContents"/>
              <w:bidi w:val="0"/>
              <w:spacing w:before="0" w:after="283"/>
              <w:jc w:val="left"/>
              <w:rPr/>
            </w:pPr>
            <w:r>
              <w:rPr/>
              <w:t>NYSE symbol for common stock</w:t>
            </w:r>
          </w:p>
        </w:tc>
        <w:tc>
          <w:tcPr>
            <w:tcW w:w="122" w:type="dxa"/>
            <w:tcBorders/>
            <w:vAlign w:val="bottom"/>
          </w:tcPr>
          <w:p>
            <w:pPr>
              <w:pStyle w:val="TableContents"/>
              <w:bidi w:val="0"/>
              <w:spacing w:before="0" w:after="283"/>
              <w:jc w:val="left"/>
              <w:rPr/>
            </w:pPr>
            <w:r>
              <w:rPr/>
              <w:t>  </w:t>
            </w:r>
          </w:p>
        </w:tc>
        <w:tc>
          <w:tcPr>
            <w:tcW w:w="6495" w:type="dxa"/>
            <w:tcBorders/>
          </w:tcPr>
          <w:p>
            <w:pPr>
              <w:pStyle w:val="TableContents"/>
              <w:bidi w:val="0"/>
              <w:spacing w:before="0" w:after="283"/>
              <w:jc w:val="left"/>
              <w:rPr/>
            </w:pPr>
            <w:r>
              <w:rPr/>
              <w:t>“</w:t>
            </w:r>
            <w:r>
              <w:rPr/>
              <w:t>MAC”</w:t>
            </w:r>
          </w:p>
        </w:tc>
      </w:tr>
      <w:tr>
        <w:trPr>
          <w:trHeight w:val="120" w:hRule="atLeast"/>
        </w:trPr>
        <w:tc>
          <w:tcPr>
            <w:tcW w:w="3588" w:type="dxa"/>
            <w:tcBorders/>
            <w:vAlign w:val="center"/>
          </w:tcPr>
          <w:p>
            <w:pPr>
              <w:pStyle w:val="TableContents"/>
              <w:bidi w:val="0"/>
              <w:spacing w:before="0" w:after="283"/>
              <w:jc w:val="left"/>
              <w:rPr>
                <w:sz w:val="4"/>
                <w:szCs w:val="4"/>
              </w:rPr>
            </w:pPr>
            <w:r>
              <w:rPr>
                <w:sz w:val="4"/>
                <w:szCs w:val="4"/>
              </w:rPr>
            </w:r>
          </w:p>
        </w:tc>
        <w:tc>
          <w:tcPr>
            <w:tcW w:w="6617" w:type="dxa"/>
            <w:gridSpan w:val="2"/>
            <w:tcBorders/>
            <w:vAlign w:val="center"/>
          </w:tcPr>
          <w:p>
            <w:pPr>
              <w:pStyle w:val="TableContents"/>
              <w:bidi w:val="0"/>
              <w:spacing w:before="0" w:after="283"/>
              <w:jc w:val="left"/>
              <w:rPr>
                <w:sz w:val="4"/>
                <w:szCs w:val="4"/>
              </w:rPr>
            </w:pPr>
            <w:r>
              <w:rPr>
                <w:sz w:val="4"/>
                <w:szCs w:val="4"/>
              </w:rPr>
            </w:r>
          </w:p>
        </w:tc>
      </w:tr>
      <w:tr>
        <w:trPr/>
        <w:tc>
          <w:tcPr>
            <w:tcW w:w="3588"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6495" w:type="dxa"/>
            <w:tcBorders/>
          </w:tcPr>
          <w:p>
            <w:pPr>
              <w:pStyle w:val="TableContents"/>
              <w:bidi w:val="0"/>
              <w:spacing w:before="0" w:after="283"/>
              <w:jc w:val="left"/>
              <w:rPr/>
            </w:pPr>
            <w:r>
              <w:rPr/>
              <w:t>We will not receive any proceeds from any sale of shares by the OP unit holders. The OP unit holders will pay any underwriting discounts and commissions and expenses they incur for brokerage, accounting, tax or legal services or any other expenses they incur in disposing of the shares.</w:t>
            </w:r>
          </w:p>
        </w:tc>
      </w:tr>
      <w:tr>
        <w:trPr>
          <w:trHeight w:val="120" w:hRule="atLeast"/>
        </w:trPr>
        <w:tc>
          <w:tcPr>
            <w:tcW w:w="3588" w:type="dxa"/>
            <w:tcBorders/>
            <w:vAlign w:val="center"/>
          </w:tcPr>
          <w:p>
            <w:pPr>
              <w:pStyle w:val="TableContents"/>
              <w:bidi w:val="0"/>
              <w:spacing w:before="0" w:after="283"/>
              <w:jc w:val="left"/>
              <w:rPr>
                <w:sz w:val="4"/>
                <w:szCs w:val="4"/>
              </w:rPr>
            </w:pPr>
            <w:r>
              <w:rPr>
                <w:sz w:val="4"/>
                <w:szCs w:val="4"/>
              </w:rPr>
            </w:r>
          </w:p>
        </w:tc>
        <w:tc>
          <w:tcPr>
            <w:tcW w:w="6617" w:type="dxa"/>
            <w:gridSpan w:val="2"/>
            <w:tcBorders/>
            <w:vAlign w:val="center"/>
          </w:tcPr>
          <w:p>
            <w:pPr>
              <w:pStyle w:val="TableContents"/>
              <w:bidi w:val="0"/>
              <w:spacing w:before="0" w:after="283"/>
              <w:jc w:val="left"/>
              <w:rPr>
                <w:sz w:val="4"/>
                <w:szCs w:val="4"/>
              </w:rPr>
            </w:pPr>
            <w:r>
              <w:rPr>
                <w:sz w:val="4"/>
                <w:szCs w:val="4"/>
              </w:rPr>
            </w:r>
          </w:p>
        </w:tc>
      </w:tr>
      <w:tr>
        <w:trPr/>
        <w:tc>
          <w:tcPr>
            <w:tcW w:w="3588" w:type="dxa"/>
            <w:tcBorders/>
          </w:tcPr>
          <w:p>
            <w:pPr>
              <w:pStyle w:val="TableContents"/>
              <w:bidi w:val="0"/>
              <w:spacing w:before="0" w:after="283"/>
              <w:jc w:val="left"/>
              <w:rPr/>
            </w:pPr>
            <w:r>
              <w:rPr/>
              <w:t>Risk factors</w:t>
            </w:r>
          </w:p>
        </w:tc>
        <w:tc>
          <w:tcPr>
            <w:tcW w:w="122" w:type="dxa"/>
            <w:tcBorders/>
            <w:vAlign w:val="bottom"/>
          </w:tcPr>
          <w:p>
            <w:pPr>
              <w:pStyle w:val="TableContents"/>
              <w:bidi w:val="0"/>
              <w:spacing w:before="0" w:after="283"/>
              <w:jc w:val="left"/>
              <w:rPr/>
            </w:pPr>
            <w:r>
              <w:rPr/>
              <w:t>  </w:t>
            </w:r>
          </w:p>
        </w:tc>
        <w:tc>
          <w:tcPr>
            <w:tcW w:w="6495" w:type="dxa"/>
            <w:tcBorders/>
          </w:tcPr>
          <w:p>
            <w:pPr>
              <w:pStyle w:val="TableContents"/>
              <w:bidi w:val="0"/>
              <w:spacing w:before="0" w:after="283"/>
              <w:jc w:val="left"/>
              <w:rPr/>
            </w:pPr>
            <w:r>
              <w:rPr/>
              <w:t>Before investing in our common stock, you should carefully read and consider the information set forth in “Risk Factors” beginning on page S-3 of this prospectus supplement and all other information appearing elsewhere and in the documents incorporated herein by reference.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8351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has and may continue to fluctuate significantly, which may make it difficult for you to sell the common stock when you want or at prices you find attractive.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on the NYSE constantly changes and has been subject to significant price fluctuations. Our stock price can fluctuate as a result of a variety of factors, many of which are beyond our control. These factors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operating results 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the goals established under the Path Forward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funds from operations or earnings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ability of our centers to generate sufficient revenues to meet operating and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anchor or tenant bankruptcies, closures, mergers or consolidations;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local economic and real estate conditions in geographic locations where we have a high concentration of centers;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public or private mall companies or others, including competition for both acquisition of centers and for tenants to occupy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tenants to pay rent and meet their other obligations to us under current lease terms and our ability to lease space on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acquisition and real estate development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financial covenants in our debt agreements and the impact of restrictive covenants in our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and elevated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our failure to qualify or maintain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joint venture agreements and other risks associated with our joint venture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uninsured losses, including losses from casualty events or natural disasters, and possible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impacts from any future pandemic, epidemic or outbreak of any highly infectious disease on the U.S., regional and global economies and on our financial condition and results of operations and the financial condition and results of operations of our tenants;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decision by any of our significant stockholders to sell substantial amounts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issuances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other risk factors included in, or incorporated by reference to,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and other factors, investors who purchase our common stock in this offering may experience a decrease, which could be substantial and rapid, in the market price of our common stock, including decreases unrelated to our operating performance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issuances and sales of common stock or securities convertible into or exchangeable for common stock may adversely affect the market price for our common stock and may cause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Additional issuances and sales (including resales by certain of our significant stockholders who have registration rights) of common stock or securities convertible into or exchangeable for common stock, or the perception that such issuances and sales could occur, may cause prevailing market prices for our common stock to decline and may adversely affect our ability to raise additional capital in the financial markets at a time and price favorable to us. Any additional future issuance of our common stock will reduce the percentage of our common stock owned by investors purchasing shares in this offering that do not participate in future issuances. In most circumstances, stockholders will not be entitled to vote on whether or not we issue additional shares of common stock. In addition, depending on the terms and pricing of an additional offering of our common stock and the value of our properties, our stockholders may experience dilution in both the book value and the market value of their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8351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by the OP unit holders of the common stock offered by this prospectus supplement. </w:t>
      </w:r>
    </w:p>
    <w:p>
      <w:pPr>
        <w:pStyle w:val="TextBody"/>
        <w:bidi w:val="0"/>
        <w:spacing w:before="480" w:after="0"/>
        <w:jc w:val="center"/>
        <w:rPr>
          <w:rFonts w:ascii="Times New Roman" w:hAnsi="Times New Roman"/>
          <w:b/>
          <w:sz w:val="20"/>
        </w:rPr>
      </w:pPr>
      <w:bookmarkStart w:id="6" w:name="supptx158351_4"/>
      <w:bookmarkEnd w:id="6"/>
      <w:r>
        <w:rPr>
          <w:rFonts w:ascii="Times New Roman" w:hAnsi="Times New Roman"/>
          <w:b/>
          <w:sz w:val="20"/>
        </w:rPr>
        <w:t xml:space="preserve">OP UNIT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shares of our common stock and OP units of the Operating Partnership beneficially owned by the OP unit holders as of August 1, 2026, the number of shares of our common stock covered by this prospectus supplement and the total number of shares of our common stock and OP units of the Operating Partnership which the OP unit holders will beneficially own upon completion of this offering. The table assumes that the OP unit holders sell all of the shares covered by this prospectus supplement, and that the OP unit holders do not acquire any additional shares of our common stock or OP units of the Operating Partnership.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shares of our common stock covered by this prospectus supplement satisfies any contractual obligation, but does not necessarily mean that (i) any of the holders of the 13,453,613 units will exercise their redemption rights, (ii) that upon any such redemption we will elect, in our sole and absolute discretion, to redeem some or all of such OP units for shares of our common stock instead of paying a cash amount or (iii) that if any of the holders of such OP units receive shares of our common stock upon redemption of their OP units that they will sell such shares. Currently, there are no outstanding redemption requests from the OP unit 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4"/>
        <w:gridCol w:w="158"/>
        <w:gridCol w:w="61"/>
        <w:gridCol w:w="1152"/>
        <w:gridCol w:w="470"/>
        <w:gridCol w:w="100"/>
        <w:gridCol w:w="162"/>
        <w:gridCol w:w="1214"/>
        <w:gridCol w:w="275"/>
        <w:gridCol w:w="100"/>
        <w:gridCol w:w="60"/>
        <w:gridCol w:w="1109"/>
        <w:gridCol w:w="60"/>
        <w:gridCol w:w="158"/>
        <w:gridCol w:w="79"/>
        <w:gridCol w:w="1337"/>
        <w:gridCol w:w="60"/>
        <w:gridCol w:w="158"/>
        <w:gridCol w:w="162"/>
        <w:gridCol w:w="1214"/>
        <w:gridCol w:w="282"/>
      </w:tblGrid>
      <w:tr>
        <w:trPr/>
        <w:tc>
          <w:tcPr>
            <w:tcW w:w="1834"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8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Partner Name</w:t>
            </w:r>
          </w:p>
        </w:tc>
        <w:tc>
          <w:tcPr>
            <w:tcW w:w="158"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and</w:t>
              <w:br/>
              <w:t>OP units</w:t>
              <w:br/>
              <w:t>Beneficially</w:t>
              <w:br/>
              <w:t>Owned</w:t>
              <w:br/>
              <w:t>Prior to the</w:t>
              <w:br/>
              <w:t>Offering(1)</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and OP units</w:t>
              <w:br/>
              <w:t>Beneficially</w:t>
              <w:br/>
              <w:t>Owned Prior</w:t>
              <w:br/>
              <w:t>to the</w:t>
              <w:br/>
              <w:t>Offering(2)</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br/>
              <w:t>Hereby(3)</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and</w:t>
              <w:br/>
              <w:t>OP units</w:t>
              <w:br/>
              <w:t>Beneficially</w:t>
              <w:br/>
              <w:t>Owned</w:t>
              <w:br/>
              <w:t>Following the</w:t>
              <w:br/>
              <w:t>Offering(1)</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and OP units</w:t>
              <w:br/>
              <w:t>Beneficially</w:t>
              <w:br/>
              <w:t>Owned</w:t>
              <w:br/>
              <w:t>Following</w:t>
              <w:br/>
              <w:t>the</w:t>
              <w:br/>
              <w:t>Offering(2)</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Wyler Trust (4)</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5,400</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5,025</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Arthur M. Coppola (5)</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2,801,777</w:t>
            </w:r>
          </w:p>
        </w:tc>
        <w:tc>
          <w:tcPr>
            <w:tcW w:w="470" w:type="dxa"/>
            <w:tcBorders/>
            <w:vAlign w:val="bottom"/>
          </w:tcPr>
          <w:p>
            <w:pPr>
              <w:pStyle w:val="TableContents"/>
              <w:bidi w:val="0"/>
              <w:spacing w:before="0" w:after="283"/>
              <w:jc w:val="left"/>
              <w:rPr/>
            </w:pPr>
            <w:r>
              <w:rPr/>
              <w:t>(6)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2,758,832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42,944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C. Coppola (7)</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2,732,926</w:t>
            </w:r>
          </w:p>
        </w:tc>
        <w:tc>
          <w:tcPr>
            <w:tcW w:w="470" w:type="dxa"/>
            <w:tcBorders/>
            <w:shd w:fill="CCEEFF" w:val="clear"/>
            <w:vAlign w:val="bottom"/>
          </w:tcPr>
          <w:p>
            <w:pPr>
              <w:pStyle w:val="TableContents"/>
              <w:bidi w:val="0"/>
              <w:spacing w:before="0" w:after="283"/>
              <w:jc w:val="left"/>
              <w:rPr/>
            </w:pPr>
            <w:r>
              <w:rPr/>
              <w:t>(8)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1,963,288</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769,639</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David Wyler Trust (4)</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5,400</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5,025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375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W. Forte</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22,871</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21,540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1,331</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Judith M. Wyler Trust (4)</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5,400</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5,025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375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Melanie Wyler Trust (4)</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3,872</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3,603</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Rausch Family Trust of 2003 (10)</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38,501</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36,706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1,795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Samantha Siegel Revocable Trust (11)</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1,021,474</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812,874</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208,600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Evan Siegel Revocable Trust (12)</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381,424</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269,212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112,212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Bayer Trust dated March 25, 1999 (13)</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113,463</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110,444</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3,019</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The Sheehan 2001 Family Trust (14)</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88,554</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87,391</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1,163</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 Burchard Family Trust (as Restated) dated March 25, 2015 (15)</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39,385</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36,615</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2,770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Thomas E. O’Hern (16)</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1,718,665</w:t>
            </w:r>
          </w:p>
        </w:tc>
        <w:tc>
          <w:tcPr>
            <w:tcW w:w="470" w:type="dxa"/>
            <w:tcBorders/>
            <w:vAlign w:val="bottom"/>
          </w:tcPr>
          <w:p>
            <w:pPr>
              <w:pStyle w:val="TableContents"/>
              <w:bidi w:val="0"/>
              <w:spacing w:before="0" w:after="283"/>
              <w:jc w:val="left"/>
              <w:rPr/>
            </w:pPr>
            <w:r>
              <w:rPr/>
              <w:t>(17)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1,699,665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19,000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Jackson Hsieh (18)</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1,600,857</w:t>
            </w:r>
          </w:p>
        </w:tc>
        <w:tc>
          <w:tcPr>
            <w:tcW w:w="470" w:type="dxa"/>
            <w:tcBorders/>
            <w:shd w:fill="CCEEFF" w:val="clear"/>
            <w:vAlign w:val="bottom"/>
          </w:tcPr>
          <w:p>
            <w:pPr>
              <w:pStyle w:val="TableContents"/>
              <w:bidi w:val="0"/>
              <w:spacing w:before="0" w:after="283"/>
              <w:jc w:val="left"/>
              <w:rPr/>
            </w:pPr>
            <w:r>
              <w:rPr/>
              <w:t>(19)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1,374,357</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226,500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Douglas J. Healey (20)</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583,365</w:t>
            </w:r>
          </w:p>
        </w:tc>
        <w:tc>
          <w:tcPr>
            <w:tcW w:w="470" w:type="dxa"/>
            <w:tcBorders/>
            <w:vAlign w:val="bottom"/>
          </w:tcPr>
          <w:p>
            <w:pPr>
              <w:pStyle w:val="TableContents"/>
              <w:bidi w:val="0"/>
              <w:spacing w:before="0" w:after="283"/>
              <w:jc w:val="left"/>
              <w:rPr/>
            </w:pPr>
            <w:r>
              <w:rPr/>
              <w:t>(21)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504,817</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78,548</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W. Kingsmore (22)</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378,688</w:t>
            </w:r>
          </w:p>
        </w:tc>
        <w:tc>
          <w:tcPr>
            <w:tcW w:w="470" w:type="dxa"/>
            <w:tcBorders/>
            <w:shd w:fill="CCEEFF" w:val="clear"/>
            <w:vAlign w:val="bottom"/>
          </w:tcPr>
          <w:p>
            <w:pPr>
              <w:pStyle w:val="TableContents"/>
              <w:bidi w:val="0"/>
              <w:spacing w:before="0" w:after="283"/>
              <w:jc w:val="left"/>
              <w:rPr/>
            </w:pPr>
            <w:r>
              <w:rPr/>
              <w:t>(23)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378,688</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Ann C. Menard (24)</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549,179</w:t>
            </w:r>
          </w:p>
        </w:tc>
        <w:tc>
          <w:tcPr>
            <w:tcW w:w="470" w:type="dxa"/>
            <w:tcBorders/>
            <w:vAlign w:val="bottom"/>
          </w:tcPr>
          <w:p>
            <w:pPr>
              <w:pStyle w:val="TableContents"/>
              <w:bidi w:val="0"/>
              <w:spacing w:before="0" w:after="283"/>
              <w:jc w:val="left"/>
              <w:rPr/>
            </w:pPr>
            <w:r>
              <w:rPr/>
              <w:t>(25)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528,546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20,633</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 Volk (26)</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265,594</w:t>
            </w:r>
          </w:p>
        </w:tc>
        <w:tc>
          <w:tcPr>
            <w:tcW w:w="470" w:type="dxa"/>
            <w:tcBorders/>
            <w:shd w:fill="CCEEFF" w:val="clear"/>
            <w:vAlign w:val="bottom"/>
          </w:tcPr>
          <w:p>
            <w:pPr>
              <w:pStyle w:val="TableContents"/>
              <w:bidi w:val="0"/>
              <w:spacing w:before="0" w:after="283"/>
              <w:jc w:val="left"/>
              <w:rPr/>
            </w:pPr>
            <w:r>
              <w:rPr/>
              <w:t>(27)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265,347</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246</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 unit holders (includes 40 OP unit holders) (28)</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2,723,472</w:t>
            </w:r>
          </w:p>
        </w:tc>
        <w:tc>
          <w:tcPr>
            <w:tcW w:w="47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2,586,611</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136,861</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15,080,267</w:t>
            </w:r>
          </w:p>
        </w:tc>
        <w:tc>
          <w:tcPr>
            <w:tcW w:w="47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5.11</w:t>
            </w:r>
          </w:p>
        </w:tc>
        <w:tc>
          <w:tcPr>
            <w:tcW w:w="27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13,453,613</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1,626,654</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0.55</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t>“</w:t>
            </w:r>
            <w:r>
              <w:rPr>
                <w:rFonts w:ascii="Times New Roman" w:hAnsi="Times New Roman"/>
                <w:sz w:val="20"/>
              </w:rPr>
              <w:t xml:space="preserve">Number of Shares and OP units Beneficially Owned Prior to the Offering” and “Number of Shares and OP units Beneficially Owned Following the Offering” include shares of common stock that may be acquired by redeeming OP units in the Operating Partnership assuming that, (a) all outstanding LTIP units, including service-based or performance-based, have vested in full and have been converted into an equal number of OP units and (b) all OP units have been redeemed for shares of common stock. Pursuant to the Operating Partnership Agreement, after receiving a redemption notice from a unit holder, the Operating Partnership must redeem units for cash or, at our option, shares of common stock on a one-for-one basis. We assume that the OP unit holders sell all of the shares covered by this prospectus supplement for purposes of the “Number of Shares and OP units Beneficially Owned Following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August 1, 2026, 283,839,533 shares of common stock, 11,182,895 OP units and 2,574,951 LTIP units, consisting of all outstanding LTIP units, including service-based or performance-based, were outstanding. In calculating the percentage of outstanding shares of common stock and OP units beneficially owned by each person we also assume that: (i) all outstanding LTIP units, including service-based or performance-based, held by all persons have vested in full and have been converted into an equal number of OP units and (ii) all OP units held by all persons, other than us, have been redeemed for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shares being offered represent shares of common stock that the OP unit holders may receive upon redemption of their OP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Tallichet is the trustee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A. Coppola is the former Chairman of our Board of Directors and our former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1,854,975 OP Units that are held by family limited liability companies of which Mr. A. Coppola is the sole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E. Coppola is our former President and a former member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163,990 OP units held in a family trust where Mr. E. Coppola has shared beneficial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Stephen D. Rausch is the trustee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Samantha Siegel is the trustee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Evan Siegel is the trustee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Richard A. Bayer and Shelley A. Bayer are the trustees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Timothy G. Sheehan is the trustee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W. Burchard and Amy H. Burchard are the co-trustees of the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Thomas E. O’Hern is our former Chief Executive Officer and a former member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19,000 shares of common stock and 1,283,488 OP units held in a living trust in which Mr. O’Hern is the sole beneficiary and 400,000 OP units held in trusts for the benefit of Mr. O’Hern’s children where Mr. O’Hern serves as trustee. Also includes 1,799 unvested service-based LTIP units and 14,378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Jackson Hsieh is our President and Chief Executive Officer and a member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350,904 unvested service-based LTIP units and 931,031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Douglas J. Healey is our Senior Executive Vice President, Leasing.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shares of common stock and OP units disclosed in the table are held by a revocable trust in which Mr. Healey is the sole beneficiary. Includes 79,377 unvested service-based LTIP units and 114,716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W. Kingsmore is our former Senior Executive Vice President, Chief Financial Officer and Treasurer.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OP units disclosed in the table are held by a family trust in which Mr. Kingsmore has shared beneficial ownership. Includes 37,420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 C. Menard is our Senior Executive Vice President, Chief Legal and Administrative Officer and Secretary.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of common stock and OP units disclosed in the table held by a family trust in which Ms. Menard has shared beneficial ownership. Also includes 82,077 unvested service-based LTIP units and 121,913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 Volk is our former Executive Vice President, Business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shares of common stock and OP units disclosed in the table are held by a living trust in which Mr. Volk is the sole beneficiary. Includes 21,588 unvested performance-based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other OP unit holders who in the aggregate beneficially own less than 1% of our outstanding common stock and OP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8351_5"/>
      <w:bookmarkEnd w:id="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covered by this prospectus supplement may be offered and sold from time to time in one or more transactions by the OP unit holders. The term “OP unit holder” as it is used in this prospectus supplement includes pledgees, donees, transferees or other successors-in-interest selling shares received from the OP unit holders as pledgor, donor, borrower or in connection with other non-sale-related transfers after the date of this prospectus supplement. This prospectus supplement may also be used by transferees of such persons, including broker-dealers or other transferees who borrow or purchase the shares to settle or close out short sales of common stock. To the extent required, this prospectus supplement and the accompanying prospectus may be amended and supplemented from time to time to describe a specific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potential sale of the shares by the OP unit holders, but we have agreed to pay the following expenses for the registration of the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 and filing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for complying with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printing, shipping and delivery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of our legal counsel and accountants in connection with the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incurred in connection with listing the shares offered for resale hereby on the NYSE.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obligation to pay any underwriting discounts, selling commissions or stock transfer taxes attributable to the sale of our common stock. We also have no obligation to pay any out-of-pocket expenses of the OP unit holders for their own counsel. </w:t>
      </w:r>
    </w:p>
    <w:p>
      <w:pPr>
        <w:pStyle w:val="TextBody"/>
        <w:bidi w:val="0"/>
        <w:spacing w:before="240" w:after="0"/>
        <w:jc w:val="left"/>
        <w:rPr>
          <w:rFonts w:ascii="Times New Roman" w:hAnsi="Times New Roman"/>
          <w:sz w:val="20"/>
        </w:rPr>
      </w:pPr>
      <w:r>
        <w:rPr>
          <w:rFonts w:ascii="Times New Roman" w:hAnsi="Times New Roman"/>
          <w:sz w:val="20"/>
        </w:rPr>
        <w:t xml:space="preserve">The OP unit holders will act independently of us in making decisions with respect to the timing, manner and size of each sale or non-sale related transfers. The shares may be sold by one or more of the following methods of sale, at the market price for our common stock prevailing at the time of sale, a price related to the prevailing market price, a negotiated price or such other price as the OP unit holders determine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NYSE or any exchange that quotes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combination of any of the above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 unit holders may enter into hedging transactions with broker-dealers in connection with distributions of the shares or otherwise. In such transactions, broker-dealers or other financial institutions may engage in short sales of the shares in the course of hedging the positions they assume with the OP unit holders. The OP unit holders may also sell shares short and redeliver the shares to close out such short positions. The OP unit holders may also enter into option or other transactions with broker-dealers which require the delivery to the broker-dealer of the shares. The broker-dealer may then resell or otherwise transfer such shares pursuant to this prospectus supplement. The OP unit holders may also pledge or loan the shares to a broker-dealer. The broker-dealer may sell the shares so loaned, or upon a default the broker-dealer may sell the pledged shares pursuant to this prospectus supplement. In addition, any shares that qualify for sale pursuant to Rule 144 may be sold under Rule 144 rather than pursuant to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8351_6"/>
      <w:bookmarkEnd w:id="8"/>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Certain legal matters will be passed upon for us by Goodwin Procter LLP, Boston, Massachusetts, and by Venable LLP, Baltimore, Maryland. </w:t>
      </w:r>
    </w:p>
    <w:p>
      <w:pPr>
        <w:pStyle w:val="TextBody"/>
        <w:bidi w:val="0"/>
        <w:spacing w:before="480" w:after="0"/>
        <w:jc w:val="center"/>
        <w:rPr>
          <w:rFonts w:ascii="Times New Roman" w:hAnsi="Times New Roman"/>
          <w:b/>
          <w:sz w:val="20"/>
        </w:rPr>
      </w:pPr>
      <w:bookmarkStart w:id="9" w:name="supptx158351_7"/>
      <w:bookmarkEnd w:id="9"/>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Securities Exchange Act of 1934, as amended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6">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26, 2026</w:t>
              </w:r>
            </w:hyperlink>
            <w:r>
              <w:rPr>
                <w:rFonts w:ascii="Times New Roman" w:hAnsi="Times New Roman"/>
                <w:sz w:val="20"/>
              </w:rPr>
              <w:t xml:space="preserve">, </w:t>
            </w:r>
            <w:hyperlink r:id="rId8">
              <w:r>
                <w:rPr>
                  <w:rStyle w:val="InternetLink"/>
                  <w:rFonts w:ascii="Times New Roman" w:hAnsi="Times New Roman"/>
                  <w:sz w:val="20"/>
                </w:rPr>
                <w:t>May  13,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12">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4, 2026, the last reported sale price of our common stock on the NYSE was $25.62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x158325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58325_1"/>
      <w:bookmarkEnd w:id="1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1" w:name="tx158325_2"/>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8325_3"/>
      <w:bookmarkEnd w:id="12"/>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5">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17">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26, 2026</w:t>
              </w:r>
            </w:hyperlink>
            <w:r>
              <w:rPr>
                <w:rFonts w:ascii="Times New Roman" w:hAnsi="Times New Roman"/>
                <w:sz w:val="20"/>
              </w:rPr>
              <w:t xml:space="preserve">, </w:t>
            </w:r>
            <w:hyperlink r:id="rId19">
              <w:r>
                <w:rPr>
                  <w:rStyle w:val="InternetLink"/>
                  <w:rFonts w:ascii="Times New Roman" w:hAnsi="Times New Roman"/>
                  <w:sz w:val="20"/>
                </w:rPr>
                <w:t>May  13, 2026</w:t>
              </w:r>
            </w:hyperlink>
            <w:r>
              <w:rPr>
                <w:rFonts w:ascii="Times New Roman" w:hAnsi="Times New Roman"/>
                <w:sz w:val="20"/>
              </w:rPr>
              <w:t xml:space="preserve">, </w:t>
            </w:r>
            <w:hyperlink r:id="rId20">
              <w:r>
                <w:rPr>
                  <w:rStyle w:val="InternetLink"/>
                  <w:rFonts w:ascii="Times New Roman" w:hAnsi="Times New Roman"/>
                  <w:sz w:val="20"/>
                </w:rPr>
                <w:t>June  3, 2026</w:t>
              </w:r>
            </w:hyperlink>
            <w:r>
              <w:rPr>
                <w:rFonts w:ascii="Times New Roman" w:hAnsi="Times New Roman"/>
                <w:sz w:val="20"/>
              </w:rPr>
              <w:t xml:space="preserve">, </w:t>
            </w:r>
            <w:hyperlink r:id="rId21">
              <w:r>
                <w:rPr>
                  <w:rStyle w:val="InternetLink"/>
                  <w:rFonts w:ascii="Times New Roman" w:hAnsi="Times New Roman"/>
                  <w:sz w:val="20"/>
                </w:rPr>
                <w:t>June  17, 2026</w:t>
              </w:r>
            </w:hyperlink>
            <w:r>
              <w:rPr>
                <w:rFonts w:ascii="Times New Roman" w:hAnsi="Times New Roman"/>
                <w:sz w:val="20"/>
              </w:rPr>
              <w:t xml:space="preserve">, and </w:t>
            </w:r>
            <w:hyperlink r:id="rId22">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23">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8325_4"/>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58325_5"/>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15" w:name="tx158325_6"/>
      <w:bookmarkEnd w:id="15"/>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16" w:name="tx158325_7"/>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17" w:name="tx158325_8"/>
      <w:bookmarkEnd w:id="17"/>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2026,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283,839,533 shares of common stock (including 280,158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26,371 shares of our common stock were reserved for issuance upon exercise of outstanding employee stock options and employee stock appreciation rights, 522,667 shares of our common stock were reserved for issuance upon the payment of stock units issued under our Eligible Directors’ Deferred Compensation/Phantom Stock Plan and 2003 Equity Incentive Plan, each as amended and restated, 13,779,659 shares of our common stock were reserved for issuance upon redemption of outstanding limited partnership units and long-term incentive plan units (including 2,484,559 of unvested long-term incentive plan units) of the Operating Partnership, and 100,776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 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 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58325_9"/>
      <w:bookmarkEnd w:id="18"/>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58325_10"/>
      <w:bookmarkEnd w:id="19"/>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58325_11"/>
      <w:bookmarkEnd w:id="20"/>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depositary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converted or exchanged. No fractional shares will be issued upon conversion or exchange. If conversion or exchange would otherwise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58325_12"/>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58325_13"/>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58325_14"/>
      <w:bookmarkEnd w:id="23"/>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58325_15"/>
      <w:bookmarkEnd w:id="24"/>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shares of preferred stock or depositary shares at a future date or dates. Alternatively, the stock purchase contracts may obligate us to purchase from holders, and obligate holders to sell to us, a specified or varying number of shares of common stock, shares of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58325_16"/>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58325_17"/>
      <w:bookmarkEnd w:id="26"/>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made in the normal course of our business (i) primarily to manage risk of interest rate or price changes or currency fluctuations with respect to borrowings made or to be 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subject to certain limitations, non-corporate taxpayers may deduct up to 20% of certain qualified business income, including “qualified REIT dividends.” Qualified REIT dividends eligible for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58325_1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28" w:name="tx158325_1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58325_2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0" w:name="tx158325_2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2025 and 2024 and for each of the years in the three year period ended December 31, 2025, and management’s assessment of the effectiveness of the Company’s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Normal"/>
        <w:bidi w:val="0"/>
        <w:spacing w:before="0" w:after="0"/>
        <w:jc w:val="left"/>
        <w:rPr>
          <w:sz w:val="4"/>
          <w:szCs w:val="4"/>
        </w:rPr>
      </w:pPr>
      <w:r>
        <w:rPr>
          <w:sz w:val="4"/>
          <w:szCs w:val="4"/>
        </w:rPr>
      </w:r>
      <w:bookmarkStart w:id="31" w:name="d158351dexfilingfees.htm"/>
      <w:bookmarkStart w:id="32" w:name="ksd158351dexfilingfees"/>
      <w:bookmarkStart w:id="33" w:name="d158351dexfilingfees.htm"/>
      <w:bookmarkStart w:id="34" w:name="ksd158351dexfilingfees"/>
      <w:bookmarkEnd w:id="33"/>
      <w:bookmarkEnd w:id="34"/>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13,453,613 </w:t>
            </w:r>
          </w:p>
        </w:tc>
        <w:tc>
          <w:tcPr>
            <w:tcW w:w="1156" w:type="dxa"/>
            <w:tcBorders/>
            <w:shd w:fill="E7E7E2" w:val="clear"/>
            <w:vAlign w:val="center"/>
          </w:tcPr>
          <w:p>
            <w:pPr>
              <w:pStyle w:val="TableContents"/>
              <w:bidi w:val="0"/>
              <w:spacing w:before="0" w:after="283"/>
              <w:jc w:val="right"/>
              <w:rPr/>
            </w:pPr>
            <w:r>
              <w:rPr/>
              <w:t xml:space="preserve">$ 25.56 </w:t>
            </w:r>
          </w:p>
        </w:tc>
        <w:tc>
          <w:tcPr>
            <w:tcW w:w="1786" w:type="dxa"/>
            <w:tcBorders/>
            <w:shd w:fill="E7E7E2" w:val="clear"/>
            <w:vAlign w:val="center"/>
          </w:tcPr>
          <w:p>
            <w:pPr>
              <w:pStyle w:val="TableContents"/>
              <w:bidi w:val="0"/>
              <w:spacing w:before="0" w:after="283"/>
              <w:jc w:val="right"/>
              <w:rPr/>
            </w:pPr>
            <w:r>
              <w:rPr/>
              <w:t xml:space="preserve">$ 343,874,348.28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$ 47,489.05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$ 343,874,348.28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$ 47,489.05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$ 5,149.24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$ 42,339.81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The Macerich Company (the "Company") initially deferred payment of the registration fee for the registration statement on Form S-3 filed August 5, 2026 (File No. 333-297985) (the "Registration Statement") and this "Calculation of Filing Fee" table shall be deemed to update the "Calculation of Filing Fee" table filed as Exhibit 107 to the Registration Statement. Pursuant to Rule 416 under the Securities Act, the Registration Statement also covers such additional shares as may hereafter be offered or issued by the Company with respect to the shares registered hereby resulting from stock splits, stock dividends, recapitalizations or similar capital adjustments. Calculated solely for the purpose of computing the registration fee pursuant to Rule 457(c) under the Securities Act based on the average of the high and low sales prices of the Company's common stock as reported on the New York Stock Exchange on July 31,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94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126"/>
        <w:gridCol w:w="1186"/>
        <w:gridCol w:w="1186"/>
        <w:gridCol w:w="1186"/>
        <w:gridCol w:w="1666"/>
        <w:gridCol w:w="112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12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6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12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94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94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The Macerich Company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333-273707 </w:t>
            </w:r>
          </w:p>
        </w:tc>
        <w:tc>
          <w:tcPr>
            <w:tcW w:w="706" w:type="dxa"/>
            <w:tcBorders/>
            <w:shd w:fill="E7E7E2" w:val="clear"/>
            <w:vAlign w:val="center"/>
          </w:tcPr>
          <w:p>
            <w:pPr>
              <w:pStyle w:val="TableContents"/>
              <w:bidi w:val="0"/>
              <w:spacing w:before="0" w:after="283"/>
              <w:jc w:val="left"/>
              <w:rPr/>
            </w:pPr>
            <w:r>
              <w:rPr/>
              <w:t xml:space="preserve">08/04/2023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$ 5,149.24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$0.01 per share </w:t>
            </w:r>
          </w:p>
        </w:tc>
        <w:tc>
          <w:tcPr>
            <w:tcW w:w="1186" w:type="dxa"/>
            <w:tcBorders/>
            <w:shd w:fill="E7E7E2" w:val="clear"/>
            <w:vAlign w:val="center"/>
          </w:tcPr>
          <w:p>
            <w:pPr>
              <w:pStyle w:val="TableContents"/>
              <w:bidi w:val="0"/>
              <w:spacing w:before="0" w:after="283"/>
              <w:jc w:val="right"/>
              <w:rPr/>
            </w:pPr>
            <w:r>
              <w:rPr/>
              <w:t xml:space="preserve">3,732,135 </w:t>
            </w:r>
          </w:p>
        </w:tc>
        <w:tc>
          <w:tcPr>
            <w:tcW w:w="1666" w:type="dxa"/>
            <w:tcBorders/>
            <w:shd w:fill="E7E7E2" w:val="clear"/>
            <w:vAlign w:val="center"/>
          </w:tcPr>
          <w:p>
            <w:pPr>
              <w:pStyle w:val="TableContents"/>
              <w:bidi w:val="0"/>
              <w:spacing w:before="0" w:after="283"/>
              <w:jc w:val="right"/>
              <w:rPr/>
            </w:pPr>
            <w:r>
              <w:rPr/>
              <w:t xml:space="preserve">$ 46,726,330.20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71" w:type="dxa"/>
            <w:tcBorders/>
            <w:shd w:fill="E7E7E2" w:val="clear"/>
            <w:vAlign w:val="center"/>
          </w:tcPr>
          <w:p>
            <w:pPr>
              <w:pStyle w:val="TableContents"/>
              <w:bidi w:val="0"/>
              <w:spacing w:before="0" w:after="283"/>
              <w:jc w:val="left"/>
              <w:rPr/>
            </w:pPr>
            <w:r>
              <w:rPr/>
              <w:t xml:space="preserve">The Macerich Company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333-273707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08/04/2023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$ 5,149.24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Company previously registered the offering of 11,774,748 shares of its common stock by means of a 424(b)(7) prospectus supplement, dated August 4, 2023 (the "Prior Resale Prospectus Supplement"), filed pursuant to a registration statement on Form S-3 (Registration No. 333-273707) filed on August 4, 2023 (the "2023 Registration Statement"). In connection with the filing of the Prior Resale Prospectus Supplement, the Company (i) made a contemporaneous fee payment in the amount of $5,149.24 to register the offering of 3,732,135 shares of its common stock and (ii) carried forward filing fees of $54,481.49 pursuant to Rule 415(a)(6) under the Securities Act relating to 8,042,613 unsold shares of its common stock that had been previously registered. Of the shares registered under the Prior Resale Prospectus Supplement, 10,546,099 shares remain unsold as of the date hereof. The 2023 Registration Statement expired on August 4, 2026 and the Company has terminated the offering that included the unsold shares of common stock under the Prior Resale Prospectus Supplement. Pursuant to Rule 457(p) under the Securities Act, the registration fee of $5,149.24 that has already been paid and remains unused with respect to a portion of the securities that were previously registered pursuant to the Prior Resale Prospectus Supplement and were not sold thereunder may be applied to offset the filing fees payable pursuant to the prospectus supplement to which this Exhibit 107 relates. Unsold Aggregate Offering Amount Associated with Fee Offset Claimed reflects the assumed maximum offering price for purposes of calculating, in accordance with Rule 457(o) and Rule 457(r) under the Securities Act, the registration fee contemporaneously paid in connection with the registration of such unsold securities under the Prior Resale Prospectus Supplement.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666" w:type="dxa"/>
        <w:jc w:val="left"/>
        <w:tblInd w:w="0" w:type="dxa"/>
        <w:tblLayout w:type="fixed"/>
        <w:tblCellMar>
          <w:top w:w="28" w:type="dxa"/>
          <w:left w:w="28" w:type="dxa"/>
          <w:bottom w:w="28" w:type="dxa"/>
          <w:right w:w="28" w:type="dxa"/>
        </w:tblCellMar>
      </w:tblPr>
      <w:tblGrid>
        <w:gridCol w:w="256"/>
        <w:gridCol w:w="182"/>
        <w:gridCol w:w="1228"/>
      </w:tblGrid>
      <w:tr>
        <w:trPr/>
        <w:tc>
          <w:tcPr>
            <w:tcW w:w="25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410" w:type="dxa"/>
            <w:gridSpan w:val="2"/>
            <w:tcBorders/>
            <w:vAlign w:val="center"/>
          </w:tcPr>
          <w:p>
            <w:pPr>
              <w:pStyle w:val="TableContents"/>
              <w:bidi w:val="0"/>
              <w:spacing w:before="0" w:after="283"/>
              <w:jc w:val="left"/>
              <w:rPr/>
            </w:pPr>
            <w:r>
              <w:rPr/>
              <w:t xml:space="preserve">See note (1). </w:t>
            </w:r>
          </w:p>
        </w:tc>
      </w:tr>
      <w:tr>
        <w:trPr/>
        <w:tc>
          <w:tcPr>
            <w:tcW w:w="438" w:type="dxa"/>
            <w:gridSpan w:val="2"/>
            <w:tcBorders/>
            <w:vAlign w:val="center"/>
          </w:tcPr>
          <w:p>
            <w:pPr>
              <w:pStyle w:val="HorizontalLine"/>
              <w:pBdr>
                <w:bottom w:val="double" w:sz="2" w:space="0" w:color="808080"/>
              </w:pBdr>
              <w:bidi w:val="0"/>
              <w:spacing w:before="0" w:after="283"/>
              <w:jc w:val="left"/>
              <w:rPr/>
            </w:pPr>
            <w:r>
              <w:rPr/>
            </w:r>
          </w:p>
        </w:tc>
        <w:tc>
          <w:tcPr>
            <w:tcW w:w="1228"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$343,874,348.28.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12242/000091224226000016/mac-20251231.htm" TargetMode="External"/><Relationship Id="rId4" Type="http://schemas.openxmlformats.org/officeDocument/2006/relationships/hyperlink" Target="http://www.sec.gov/Archives/edgar/data/../../../ix?doc=/Archives/edgar/data/0000912242/000119312526170447/d61679ddef14a.htm" TargetMode="External"/><Relationship Id="rId5" Type="http://schemas.openxmlformats.org/officeDocument/2006/relationships/hyperlink" Target="http://www.sec.gov/Archives/edgar/data/../../../ix?doc=/Archives/edgar/data/0000912242/000091224226000024/mac-20260331.htm" TargetMode="External"/><Relationship Id="rId6" Type="http://schemas.openxmlformats.org/officeDocument/2006/relationships/hyperlink" Target="http://www.sec.gov/Archives/edgar/data/../../../ix?doc=/Archives/edgar/data/912242/000091224226000037/mac-20260630.htm" TargetMode="External"/><Relationship Id="rId7" Type="http://schemas.openxmlformats.org/officeDocument/2006/relationships/hyperlink" Target="http://www.sec.gov/Archives/edgar/data/../../../ix?doc=/Archives/edgar/data/0000912242/000119312526077466/d112967d8k.htm" TargetMode="External"/><Relationship Id="rId8" Type="http://schemas.openxmlformats.org/officeDocument/2006/relationships/hyperlink" Target="http://www.sec.gov/Archives/edgar/data/../../../ix?doc=/Archives/edgar/data/0000912242/000119312526221714/d32273d8k.htm" TargetMode="External"/><Relationship Id="rId9" Type="http://schemas.openxmlformats.org/officeDocument/2006/relationships/hyperlink" Target="http://www.sec.gov/Archives/edgar/data/../../../ix?doc=/Archives/edgar/data/0000912242/000119312526255466/d56685d8k.htm" TargetMode="External"/><Relationship Id="rId10" Type="http://schemas.openxmlformats.org/officeDocument/2006/relationships/hyperlink" Target="http://www.sec.gov/Archives/edgar/data/../../../ix?doc=/Archives/edgar/data/0000912242/000119312526274188/d130391d8k.htm" TargetMode="External"/><Relationship Id="rId11" Type="http://schemas.openxmlformats.org/officeDocument/2006/relationships/hyperlink" Target="http://www.sec.gov/Archives/edgar/data/../../../ix?doc=/Archives/edgar/data/0000912242/000119312526286956/d140674d8k.htm" TargetMode="External"/><Relationship Id="rId12" Type="http://schemas.openxmlformats.org/officeDocument/2006/relationships/hyperlink" Target="http://www.sec.gov/Archives/edgar/data/912242/000091224224000026/mac-20231231x10kex4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0912242/000091224226000016/mac-20251231.htm" TargetMode="External"/><Relationship Id="rId15" Type="http://schemas.openxmlformats.org/officeDocument/2006/relationships/hyperlink" Target="http://www.sec.gov/Archives/edgar/data/../../../ix?doc=/Archives/edgar/data/0000912242/000119312526170447/d61679ddef14a.htm" TargetMode="External"/><Relationship Id="rId16" Type="http://schemas.openxmlformats.org/officeDocument/2006/relationships/hyperlink" Target="http://www.sec.gov/Archives/edgar/data/../../../ix?doc=/Archives/edgar/data/0000912242/000091224226000024/mac-20260331.htm" TargetMode="External"/><Relationship Id="rId17" Type="http://schemas.openxmlformats.org/officeDocument/2006/relationships/hyperlink" Target="http://www.sec.gov/Archives/edgar/data/../../../ix?doc=/Archives/edgar/data/912242/000091224226000037/mac-20260630.htm" TargetMode="External"/><Relationship Id="rId18" Type="http://schemas.openxmlformats.org/officeDocument/2006/relationships/hyperlink" Target="http://www.sec.gov/Archives/edgar/data/../../../ix?doc=/Archives/edgar/data/0000912242/000119312526077466/d112967d8k.htm" TargetMode="External"/><Relationship Id="rId19" Type="http://schemas.openxmlformats.org/officeDocument/2006/relationships/hyperlink" Target="http://www.sec.gov/Archives/edgar/data/../../../ix?doc=/Archives/edgar/data/0000912242/000119312526221714/d32273d8k.htm" TargetMode="External"/><Relationship Id="rId20" Type="http://schemas.openxmlformats.org/officeDocument/2006/relationships/hyperlink" Target="http://www.sec.gov/Archives/edgar/data/../../../ix?doc=/Archives/edgar/data/0000912242/000119312526255466/d56685d8k.htm" TargetMode="External"/><Relationship Id="rId21" Type="http://schemas.openxmlformats.org/officeDocument/2006/relationships/hyperlink" Target="http://www.sec.gov/Archives/edgar/data/../../../ix?doc=/Archives/edgar/data/0000912242/000119312526274188/d130391d8k.htm" TargetMode="External"/><Relationship Id="rId22" Type="http://schemas.openxmlformats.org/officeDocument/2006/relationships/hyperlink" Target="http://www.sec.gov/Archives/edgar/data/../../../ix?doc=/Archives/edgar/data/0000912242/000119312526286956/d140674d8k.htm" TargetMode="External"/><Relationship Id="rId23" Type="http://schemas.openxmlformats.org/officeDocument/2006/relationships/hyperlink" Target="http://www.sec.gov/Archives/edgar/data/912242/000091224224000026/mac-20231231x10kex4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46223</Words>
  <Characters>238146</Characters>
  <CharactersWithSpaces>285264</CharactersWithSpaces>
  <Paragraphs>2989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