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8343d424b5.htm"/>
        <w:bookmarkStart w:id="1" w:name="ksd158343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333-297985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5,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364807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48075" cy="771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$500,000,000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issuance and sale of shares of our common stock having an aggregate offering price of up to $500,000,000 from time to time through our sales agents, J.P. Morgan Securities LLC, Deutsche Bank Securities Inc., BMO Capital Markets Corp., Goldman Sachs &amp; Co. LLC, Morgan Stanley &amp; Co. LLC, Scotia Capital (USA) Inc. and TD Securities (USA) LLC. These sales, if any, will be made pursuant to the terms of an equity distribution agreement entered into between us and the sales agents on November 12, 2024, as amended by amendment no. 1 to the equity distribution agreement entered into on August 5, 2026 (as amended, the “Equity Distribution Agreement”). In the event that we further amend the Equity Distribution Agreement to permit any sales agents other than J.P. Morgan Securities LLC, Deutsche Bank Securities Inc., BMO Capital Markets Corp., Goldman Sachs &amp; Co. LLC, Morgan Stanley &amp; Co. LLC, Scotia Capital (USA) Inc. and TD Securities (USA) LLC to become party to the Equity Distribution Agreement, we will file a prospectus supplement to reflect any additional sales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sold shares of our common stock having an aggregate offering price of $211,500,207 as of the date of this prospectus supplement, pursuant to the Equity Distribution Agreement, a registration statement on Form S-3 (File No. 333-273707) filed on August 4, 2023 and a prospectus supplement dated November 12, 2024. Accordingly, as of the date of this prospectus supplement, shares of our common stock having an aggregate offering price of $288,499,793 remain available for offer and sale pursuant to the Equity Distribution Agreement and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Sales of shares of our common stock under this prospectus supplement, if any, may be made in privately negotiated transactions and/or any other method permitted by law, including block trades or sales deemed to be an “at the market” offering as defined in Rule 415 under the Securities Act of 1933, as amended (the “Securities Act”), which includes sales made directly on the New York Stock Exchange (the “NYSE”), sales made to or through a market maker other than on an exchange or sales through an electronic communications network. Each of the sales agents will make all sales using its commercially reasonable efforts consistent with its normal trading and sales practices on mutually agreed terms between the sales agents and us.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trades on the NYSE under the symbol “MAC.” On August 4, 2026, the last reported sale price of our common stock on the NYSE was $25.62 per share. </w:t>
      </w:r>
    </w:p>
    <w:p>
      <w:pPr>
        <w:pStyle w:val="TextBody"/>
        <w:bidi w:val="0"/>
        <w:spacing w:before="240" w:after="0"/>
        <w:jc w:val="left"/>
        <w:rPr>
          <w:rFonts w:ascii="Times New Roman" w:hAnsi="Times New Roman"/>
          <w:sz w:val="20"/>
        </w:rPr>
      </w:pPr>
      <w:r>
        <w:rPr>
          <w:rFonts w:ascii="Times New Roman" w:hAnsi="Times New Roman"/>
          <w:sz w:val="20"/>
        </w:rPr>
        <w:t>We will pay each sales agent a commission that will not exceed, but may be lower than, 2% of the gross proceeds of the shares sold pursuant to the Equity Distribution Agreement by such sales agent. The net proceeds from any sales under this prospectus supplement will be used as described under “</w:t>
      </w:r>
      <w:r>
        <w:rPr>
          <w:rFonts w:ascii="Times New Roman" w:hAnsi="Times New Roman"/>
          <w:i/>
          <w:sz w:val="20"/>
        </w:rPr>
        <w:t>Use of Proceeds</w:t>
      </w:r>
      <w:r>
        <w:rPr>
          <w:rFonts w:ascii="Times New Roman" w:hAnsi="Times New Roman"/>
          <w:sz w:val="20"/>
        </w:rPr>
        <w:t xml:space="preserv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common stock on our behalf, the sales agents may be deemed to be “underwriters” within the meaning of the Securities Act and the compensation of the sales agents may be deemed to be underwriting commissions or discounts. We have agreed to provide indemnification and contribution to the sales agents against certain liabilities, including liabilities under the Securities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w:t>
      </w:r>
      <w:hyperlink w:anchor="supptx158343_2">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S-3.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on the adequacy or accuracy of this prospectus supplement or the accompanying prospectus. Any representation to the contrary is a criminal offense.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0"/>
        <w:gridCol w:w="75"/>
        <w:gridCol w:w="2700"/>
        <w:gridCol w:w="75"/>
        <w:gridCol w:w="2486"/>
        <w:gridCol w:w="75"/>
        <w:gridCol w:w="2864"/>
      </w:tblGrid>
      <w:tr>
        <w:trPr/>
        <w:tc>
          <w:tcPr>
            <w:tcW w:w="193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r>
      <w:tr>
        <w:trPr/>
        <w:tc>
          <w:tcPr>
            <w:tcW w:w="1930" w:type="dxa"/>
            <w:tcBorders/>
          </w:tcPr>
          <w:p>
            <w:pPr>
              <w:pStyle w:val="TableContents"/>
              <w:bidi w:val="0"/>
              <w:spacing w:before="0" w:after="283"/>
              <w:jc w:val="left"/>
              <w:rPr>
                <w:b/>
              </w:rPr>
            </w:pPr>
            <w:r>
              <w:rPr>
                <w:b/>
              </w:rPr>
              <w:t>J.P. Morgan</w:t>
            </w:r>
          </w:p>
        </w:tc>
        <w:tc>
          <w:tcPr>
            <w:tcW w:w="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b/>
              </w:rPr>
            </w:pPr>
            <w:r>
              <w:rPr>
                <w:b/>
              </w:rPr>
              <w:t>Deutsche Bank Securities</w:t>
            </w:r>
          </w:p>
        </w:tc>
        <w:tc>
          <w:tcPr>
            <w:tcW w:w="75" w:type="dxa"/>
            <w:tcBorders/>
            <w:vAlign w:val="bottom"/>
          </w:tcPr>
          <w:p>
            <w:pPr>
              <w:pStyle w:val="TableContents"/>
              <w:bidi w:val="0"/>
              <w:spacing w:before="0" w:after="283"/>
              <w:jc w:val="left"/>
              <w:rPr/>
            </w:pPr>
            <w:r>
              <w:rPr/>
              <w:t> </w:t>
            </w:r>
          </w:p>
        </w:tc>
        <w:tc>
          <w:tcPr>
            <w:tcW w:w="2486" w:type="dxa"/>
            <w:tcBorders/>
          </w:tcPr>
          <w:p>
            <w:pPr>
              <w:pStyle w:val="TableContents"/>
              <w:bidi w:val="0"/>
              <w:spacing w:before="0" w:after="283"/>
              <w:jc w:val="left"/>
              <w:rPr>
                <w:b/>
              </w:rPr>
            </w:pPr>
            <w:r>
              <w:rPr>
                <w:b/>
              </w:rPr>
              <w:t>BMO Capital Markets</w:t>
            </w:r>
          </w:p>
        </w:tc>
        <w:tc>
          <w:tcPr>
            <w:tcW w:w="75" w:type="dxa"/>
            <w:tcBorders/>
            <w:vAlign w:val="bottom"/>
          </w:tcPr>
          <w:p>
            <w:pPr>
              <w:pStyle w:val="TableContents"/>
              <w:bidi w:val="0"/>
              <w:spacing w:before="0" w:after="283"/>
              <w:jc w:val="left"/>
              <w:rPr/>
            </w:pPr>
            <w:r>
              <w:rPr/>
              <w:t> </w:t>
            </w:r>
          </w:p>
        </w:tc>
        <w:tc>
          <w:tcPr>
            <w:tcW w:w="2864" w:type="dxa"/>
            <w:tcBorders/>
          </w:tcPr>
          <w:p>
            <w:pPr>
              <w:pStyle w:val="TableContents"/>
              <w:bidi w:val="0"/>
              <w:spacing w:before="0" w:after="283"/>
              <w:jc w:val="right"/>
              <w:rPr>
                <w:b/>
              </w:rPr>
            </w:pPr>
            <w:r>
              <w:rPr>
                <w:b/>
              </w:rPr>
              <w:t>Goldman Sachs &amp; Co. LLC</w:t>
            </w:r>
          </w:p>
        </w:tc>
      </w:tr>
      <w:tr>
        <w:trPr>
          <w:trHeight w:val="120" w:hRule="atLeast"/>
        </w:trPr>
        <w:tc>
          <w:tcPr>
            <w:tcW w:w="1930"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before="0" w:after="283"/>
              <w:jc w:val="left"/>
              <w:rPr>
                <w:sz w:val="4"/>
                <w:szCs w:val="4"/>
              </w:rPr>
            </w:pPr>
            <w:r>
              <w:rPr>
                <w:sz w:val="4"/>
                <w:szCs w:val="4"/>
              </w:rPr>
            </w:r>
          </w:p>
        </w:tc>
        <w:tc>
          <w:tcPr>
            <w:tcW w:w="5500" w:type="dxa"/>
            <w:gridSpan w:val="4"/>
            <w:tcBorders/>
            <w:vAlign w:val="center"/>
          </w:tcPr>
          <w:p>
            <w:pPr>
              <w:pStyle w:val="TableContents"/>
              <w:bidi w:val="0"/>
              <w:spacing w:before="0" w:after="283"/>
              <w:jc w:val="left"/>
              <w:rPr>
                <w:sz w:val="4"/>
                <w:szCs w:val="4"/>
              </w:rPr>
            </w:pPr>
            <w:r>
              <w:rPr>
                <w:sz w:val="4"/>
                <w:szCs w:val="4"/>
              </w:rPr>
            </w:r>
          </w:p>
        </w:tc>
      </w:tr>
      <w:tr>
        <w:trPr/>
        <w:tc>
          <w:tcPr>
            <w:tcW w:w="1930" w:type="dxa"/>
            <w:tcBorders/>
          </w:tcPr>
          <w:p>
            <w:pPr>
              <w:pStyle w:val="TableContents"/>
              <w:bidi w:val="0"/>
              <w:spacing w:before="0" w:after="283"/>
              <w:jc w:val="right"/>
              <w:rPr>
                <w:b/>
              </w:rPr>
            </w:pPr>
            <w:r>
              <w:rPr>
                <w:b/>
              </w:rPr>
              <w:t>Morgan Stanley</w:t>
            </w:r>
          </w:p>
        </w:tc>
        <w:tc>
          <w:tcPr>
            <w:tcW w:w="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right"/>
              <w:rPr>
                <w:b/>
              </w:rPr>
            </w:pPr>
            <w:r>
              <w:rPr>
                <w:b/>
              </w:rPr>
              <w:t>Scotiabank</w:t>
            </w:r>
          </w:p>
        </w:tc>
        <w:tc>
          <w:tcPr>
            <w:tcW w:w="75" w:type="dxa"/>
            <w:tcBorders/>
            <w:vAlign w:val="bottom"/>
          </w:tcPr>
          <w:p>
            <w:pPr>
              <w:pStyle w:val="TableContents"/>
              <w:bidi w:val="0"/>
              <w:spacing w:before="0" w:after="283"/>
              <w:jc w:val="left"/>
              <w:rPr/>
            </w:pPr>
            <w:r>
              <w:rPr/>
              <w:t> </w:t>
            </w:r>
          </w:p>
        </w:tc>
        <w:tc>
          <w:tcPr>
            <w:tcW w:w="5425" w:type="dxa"/>
            <w:gridSpan w:val="3"/>
            <w:tcBorders/>
          </w:tcPr>
          <w:p>
            <w:pPr>
              <w:pStyle w:val="TableContents"/>
              <w:bidi w:val="0"/>
              <w:spacing w:before="0" w:after="283"/>
              <w:jc w:val="center"/>
              <w:rPr>
                <w:b/>
              </w:rPr>
            </w:pPr>
            <w:r>
              <w:rPr>
                <w:b/>
              </w:rPr>
              <w:t>TD Securities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0"/>
        <w:gridCol w:w="247"/>
        <w:gridCol w:w="75"/>
        <w:gridCol w:w="450"/>
        <w:gridCol w:w="63"/>
      </w:tblGrid>
      <w:tr>
        <w:trPr/>
        <w:tc>
          <w:tcPr>
            <w:tcW w:w="937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70" w:type="dxa"/>
            <w:tcBorders/>
            <w:vAlign w:val="center"/>
          </w:tcPr>
          <w:p>
            <w:pPr>
              <w:pStyle w:val="TableContents"/>
              <w:bidi w:val="0"/>
              <w:spacing w:before="0" w:after="283"/>
              <w:jc w:val="left"/>
              <w:rPr>
                <w:sz w:val="4"/>
                <w:szCs w:val="4"/>
              </w:rPr>
            </w:pPr>
            <w:r>
              <w:rPr>
                <w:sz w:val="4"/>
                <w:szCs w:val="4"/>
              </w:rPr>
            </w:r>
          </w:p>
        </w:tc>
        <w:tc>
          <w:tcPr>
            <w:tcW w:w="835" w:type="dxa"/>
            <w:gridSpan w:val="4"/>
            <w:tcBorders/>
            <w:vAlign w:val="center"/>
          </w:tcPr>
          <w:p>
            <w:pPr>
              <w:pStyle w:val="TableContents"/>
              <w:bidi w:val="0"/>
              <w:spacing w:before="0" w:after="283"/>
              <w:jc w:val="left"/>
              <w:rPr>
                <w:sz w:val="4"/>
                <w:szCs w:val="4"/>
              </w:rPr>
            </w:pPr>
            <w:r>
              <w:rPr>
                <w:sz w:val="4"/>
                <w:szCs w:val="4"/>
              </w:rPr>
            </w:r>
          </w:p>
        </w:tc>
      </w:tr>
      <w:tr>
        <w:trPr/>
        <w:tc>
          <w:tcPr>
            <w:tcW w:w="9370" w:type="dxa"/>
            <w:tcBorders/>
            <w:vAlign w:val="bottom"/>
          </w:tcPr>
          <w:p>
            <w:pPr>
              <w:pStyle w:val="TableContents"/>
              <w:bidi w:val="0"/>
              <w:spacing w:before="0" w:after="0"/>
              <w:jc w:val="left"/>
              <w:rPr/>
            </w:pPr>
            <w:hyperlink w:anchor="supptx158343_1">
              <w:r>
                <w:rPr>
                  <w:rStyle w:val="InternetLink"/>
                  <w:rFonts w:ascii="Times New Roman" w:hAnsi="Times New Roman"/>
                  <w:sz w:val="20"/>
                </w:rPr>
                <w:t>SUMMARY</w:t>
              </w:r>
            </w:hyperlink>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supptx158343_2">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supptx158343_3">
              <w:r>
                <w:rPr>
                  <w:rStyle w:val="InternetLink"/>
                  <w:rFonts w:ascii="Times New Roman" w:hAnsi="Times New Roman"/>
                  <w:sz w:val="20"/>
                </w:rPr>
                <w:t>IMPORTANT INFORMATION RELATED TO FORWARD-LOOKING STATEMENTS</w:t>
              </w:r>
            </w:hyperlink>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supptx158343_4">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S-6</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supptx158343_5">
              <w:r>
                <w:rPr>
                  <w:rStyle w:val="InternetLink"/>
                  <w:rFonts w:ascii="Times New Roman" w:hAnsi="Times New Roman"/>
                  <w:sz w:val="20"/>
                </w:rPr>
                <w:t>PLAN OF DISTRIBUTION (CONFLICTS OF INTEREST)</w:t>
              </w:r>
            </w:hyperlink>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supptx158343_6">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r>
        <w:trPr/>
        <w:tc>
          <w:tcPr>
            <w:tcW w:w="9370" w:type="dxa"/>
            <w:tcBorders/>
            <w:vAlign w:val="bottom"/>
          </w:tcPr>
          <w:p>
            <w:pPr>
              <w:pStyle w:val="TableContents"/>
              <w:bidi w:val="0"/>
              <w:spacing w:before="0" w:after="0"/>
              <w:jc w:val="left"/>
              <w:rPr/>
            </w:pPr>
            <w:hyperlink w:anchor="supptx158343_7">
              <w:r>
                <w:rPr>
                  <w:rStyle w:val="InternetLink"/>
                  <w:rFonts w:ascii="Times New Roman" w:hAnsi="Times New Roman"/>
                  <w:sz w:val="20"/>
                </w:rPr>
                <w:t>WHERE YOU CAN FIND MORE INFORMATION AND INCORPORATION BY REFERENCE</w:t>
              </w:r>
            </w:hyperlink>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3">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4">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6">
              <w:r>
                <w:rPr>
                  <w:rStyle w:val="InternetLink"/>
                  <w:rFonts w:ascii="Times New Roman" w:hAnsi="Times New Roman"/>
                  <w:sz w:val="20"/>
                </w:rPr>
                <w:t>THE MACERICH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relates to the potential offer and sale, from time to time, of shares of our common stock and also supplements and updates information contained in the accompanying prospectus and the documents incorporated by reference into the prospectus. The second part is the accompanying prospectus, which gives more general information, some of which may not apply to any potential sale of shares of our common stock. To the extent there is a conflict between the information contained in this prospectus supplement, on the one hand, and the information contained in the accompanying prospectus or any document incorporated by reference herein that was filed with the SEC before the date of this prospectus supplement, on the other hand, you should rely on the information in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the accompanying prospectus and any free writing prospectus that we have authorized. We have not and the sales agents have not authorized anyone to provide you with information that is different from that contained or incorporated by reference in this prospectus supplement, the accompanying prospectus or any such free writing prospectus. The offering of the shares of our common stock may be restricted by law in certain non-U.S. jurisdictions. This prospectus supplement is not an offer to sell nor does it seek an offer to buy any shares of our common stock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tx158343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only highlights the more detailed information appearing elsewhere in this prospectus supplement or incorporated by reference in this prospectus supplement. It may not contain all of the information that is important to you. You should carefully read this entire prospectus supplement, the accompanying prospectus and the documents incorporated by reference in this prospectus supplement before deciding whether to invest in shares of our common stock.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stated, or the context otherwise requires, references in this prospectus supplement to the “Company,” “Macerich,” “we,” “us” and “our” refer to The Macerich Company, those entities owned or controlled by The Macerich Company and predecessors of The Macerich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self-administered and self-managed real estate investment trust (“REIT”) and we conduct all of our operations through the Operating Partnership and our management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organized as a Maryland corporation in September 1993. Our principal executive offices are located at 401 Wilshire Boulevard, Suite 700, Santa Monica, California 90401. Our telephone number is (310)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w:t>
            </w:r>
          </w:p>
        </w:tc>
        <w:tc>
          <w:tcPr>
            <w:tcW w:w="6326" w:type="dxa"/>
            <w:tcBorders/>
          </w:tcPr>
          <w:p>
            <w:pPr>
              <w:pStyle w:val="TableContents"/>
              <w:bidi w:val="0"/>
              <w:spacing w:before="0" w:after="283"/>
              <w:jc w:val="left"/>
              <w:rPr/>
            </w:pPr>
            <w:r>
              <w:rPr/>
              <w:t xml:space="preserve">Shares of common stock with an aggregate offering price of up to $500,000,000. Of that amount, we have sold shares of our common stock having an aggregate offering price of $211,500,207 as of the date of this prospectus supplement, pursuant to the Equity Distribution Agreement, a registration statement on Form S-3 (File No. 333-273707) filed on August 4, 2023 and a prospectus supplement dated November 12, 2024. Accordingly, as of the date of this prospectus supplement, shares of our common stock having an aggregate offering price of $288,499,793 remain available for offer and sale pursuant to the Equity Distribution Agreement and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offering </w:t>
            </w:r>
          </w:p>
        </w:tc>
        <w:tc>
          <w:tcPr>
            <w:tcW w:w="6330" w:type="dxa"/>
            <w:tcBorders/>
          </w:tcPr>
          <w:p>
            <w:pPr>
              <w:pStyle w:val="TableContents"/>
              <w:bidi w:val="0"/>
              <w:spacing w:before="0" w:after="283"/>
              <w:jc w:val="left"/>
              <w:rPr/>
            </w:pPr>
            <w:r>
              <w:rPr/>
              <w:t>Sales of shares of our common stock under this prospectus supplement, if any, may be made in privately negotiated transactions and/or any other method permitted by law, including block trades or sales deemed to be an “at the market” offering as defined in Rule 415 under the Securities Act, which includes sales made directly on the NYSE, sales made to or through a market maker other than on an exchange or sales through an electronic communications network. Each of the sales agents will make all sales using its commercially reasonable efforts consistent with its normal trading and sales practices on mutually agreed terms between the sales agents and us. See “</w:t>
            </w:r>
            <w:r>
              <w:rPr>
                <w:i/>
              </w:rPr>
              <w:t>Plan of Distribution (Conflicts of Interest)</w:t>
            </w:r>
            <w:r>
              <w:rPr/>
              <w:t xml:space="preserve">” beginning on page S-7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NYSE symbol for our common stock </w:t>
            </w:r>
          </w:p>
        </w:tc>
        <w:tc>
          <w:tcPr>
            <w:tcW w:w="6328" w:type="dxa"/>
            <w:tcBorders/>
          </w:tcPr>
          <w:p>
            <w:pPr>
              <w:pStyle w:val="TableContents"/>
              <w:bidi w:val="0"/>
              <w:spacing w:before="0" w:after="283"/>
              <w:jc w:val="left"/>
              <w:rPr/>
            </w:pPr>
            <w:r>
              <w:rPr/>
              <w:t>“</w:t>
            </w:r>
            <w:r>
              <w:rPr/>
              <w:t xml:space="preserve">MAC”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283"/>
              <w:jc w:val="left"/>
              <w:rPr/>
            </w:pPr>
            <w:r>
              <w:rPr/>
              <w:t xml:space="preserve">We will contribute the net proceeds from any sales of shares of our common stock hereunder to the Operating Partnership in exchange for securities of the Operating Partnership that have economic interests substantially similar to those of our common stock. The Operating Partnership intends to use the net proceeds from this offering to repay indebtedness outstanding from time to time and for general corporate purposes.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Before investing in the shares of our common stock, you should carefully read and consider the information set forth in “Risk Factors” beginning on page S-3 of this prospectus supplement and all other information appearing elsewhere and in the documents incorporated herein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58343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other information contained in this prospectus supplement and the accompanying prospectus, you should carefully consider the risks described below and in the documents incorporated by reference in this prospectus supplement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shares of our common stock could decline due to the materialization of any of these risks, and you may lose all or part of your investment. This prospectus supplement, the accompanying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 on Form 10-K for the year ended December 31, 2025 and (ii) documents we file with the SEC after the date of this prospectus supplement and which are deemed incorporated by reference in this prospectus supplement. See “Where You Can Find More Information and Incorporation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common stock has and may continue to fluctuate significantly, which may make it difficult for you to sell the common stock when you want or at prices you find attractive. </w:t>
      </w:r>
    </w:p>
    <w:p>
      <w:pPr>
        <w:pStyle w:val="TextBody"/>
        <w:bidi w:val="0"/>
        <w:spacing w:before="240" w:after="0"/>
        <w:jc w:val="left"/>
        <w:rPr>
          <w:rFonts w:ascii="Times New Roman" w:hAnsi="Times New Roman"/>
          <w:sz w:val="20"/>
        </w:rPr>
      </w:pPr>
      <w:r>
        <w:rPr>
          <w:rFonts w:ascii="Times New Roman" w:hAnsi="Times New Roman"/>
          <w:sz w:val="20"/>
        </w:rPr>
        <w:t xml:space="preserve">The price of our common stock on the NYSE constantly changes and has been subject to significant price fluctuations. Our stock price can fluctuate as a result of a variety of factors, many of which are beyond our control. These factors may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our operating results 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the goals established under the Path Forward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government shutdowns, ongoing military conflicts and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funds from operations or earnings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ability of our centers to generate sufficient revenues to meet operating and other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anchor or tenant bankruptcies, closures, mergers or consolidations;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local economic and real estate conditions in geographic locations where we have a high concentration of centers;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by public or private mall companies or others, including competition for both acquisition of centers and for tenants to occupy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tenants to pay rent and meet their other obligations to us under current lease terms and our ability to lease space on 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acquisition and real estate development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financial covenants in our debt agreements and the impact of restrictive covenants in our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and elevated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our failure to qualify or maintain our status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our joint venture agreements and other risks associated with our joint venture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uninsured losses, including losses from casualty events or natural disasters, and possible environmental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impacts from any future pandemic, epidemic or outbreak of any highly infectious disease on the U.S., regional and global economies and on our financial condition and results of operations and the financial condition and results of operations of our tenants;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decision by any of our significant stockholders to sell substantial amounts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issuances of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realization of any of the other risk factors included in, or incorporated by reference to,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these and other factors, investors who purchase our common stock in this offering may experience a decrease, which could be substantial and rapid, in the market price of our common stock, including decreases unrelated to our operating performance or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issuances and sales of common stock or securities convertible into or exchangeable for common stock may adversely affect the market price for our common stock and may cause dilution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issuances and sales of common stock or securities convertible into or exchangeable for common stock, or the perception that such issuances and sales could occur, may cause prevailing market prices for our common stock to decline and may adversely affect our ability to raise additional capital in the financial markets at a time and price favorable to us. Any additional future issuance of our common stock will reduce the percentage of our common stock owned by investors purchasing shares in this offering that do not participate in future issuances. In most circumstances, stockholders will not be entitled to vote on whether or not we issue additional shares of common stock. In addition, depending on the terms and pricing of an additional offering of our common stock and the value of our properties, our stockholders may experience dilution in both the book value and the market value of their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58343_3"/>
      <w:bookmarkEnd w:id="5"/>
      <w:r>
        <w:rPr>
          <w:rFonts w:ascii="Times New Roman" w:hAnsi="Times New Roman"/>
          <w:b/>
          <w:sz w:val="20"/>
        </w:rPr>
        <w:t xml:space="preserve">IMPORTANT INFORMATION RELATED TO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that we incorporate by reference, contain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prospectus supplement and the accompanying prospectus, including the documents that we incorporate by reference, and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Path Forward Plan and our ability to meet the goals established under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operations, including as a result of any increased borrowing costs on our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including those made in “Risk Factors” in this prospectus supplement and in our Annual Report on Form 10-K for the year ended December 31, 2025, as such risk factors may be amended, supplemented or superseded from time to time by other reports we file with the SEC in the future, including subsequent Annual Reports on Form 10-K and Quarterly Reports on Form 10-Q, which disclosures are incorporated herein by reference. We caution you not to place undue reliance on these forward-looking statements, which speak only as of the date of this prospectus supplement. We do not intend, and we undertake no obligation, to update any forward-looking information to reflect events or circumstances after the </w:t>
      </w:r>
    </w:p>
    <w:p>
      <w:pPr>
        <w:pStyle w:val="TextBody"/>
        <w:bidi w:val="0"/>
        <w:spacing w:before="0" w:after="0"/>
        <w:jc w:val="left"/>
        <w:rPr>
          <w:rFonts w:ascii="Times New Roman" w:hAnsi="Times New Roman"/>
          <w:sz w:val="20"/>
        </w:rPr>
      </w:pPr>
      <w:r>
        <w:rPr>
          <w:rFonts w:ascii="Times New Roman" w:hAnsi="Times New Roman"/>
          <w:sz w:val="20"/>
        </w:rPr>
        <w:t xml:space="preserve">date of this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58343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contribute the net proceeds from any sales of shares of our common stock hereunder to the Operating Partnership in exchange for securities of the Operating Partnership that have economic interests substantially similar to those of our common stock. The Operating Partnership intends to use the net proceeds from this offering to repay indebtedness outstanding from time to time and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58343_5"/>
      <w:bookmarkEnd w:id="7"/>
      <w:r>
        <w:rPr>
          <w:rFonts w:ascii="Times New Roman" w:hAnsi="Times New Roman"/>
          <w:b/>
          <w:sz w:val="20"/>
        </w:rPr>
        <w:t xml:space="preserve">PLAN OF DISTRIBUTION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Equity Distribution Agreement with J.P. Morgan Securities LLC, Deutsche Bank Securities Inc., BMO Capital Markets Corp., Goldman Sachs &amp; Co. LLC, Morgan Stanley &amp; Co. LLC, Scotia Capital (USA) Inc. and TD Securities (USA) LLC, as our sales agents, pursuant to which shares of our common stock having an aggregate offering price of up to $500,000,000 may be offered and sold over time and from time to time. Of that amount, we have sold shares of our common stock having an aggregate offering price of $211,500,207 as of the date of this prospectus supplement, pursuant to the Equity Distribution Agreement, a registration statement on Form S-3 (File No. 333-273707) filed on August 4, 2023 and a prospectus supplement dated November 12, 2024. Accordingly, as of the date of this prospectus supplement, shares of our common stock having an aggregate offering price of $288,499,793 remain available for offer and sale pursuant to the Equity Distribution Agreement and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refer to our sales agent selected by us for a sale as the Designated Agent. In the event that we further amend the Equity Distribution Agreement to permit any sales agents other than J.P. Morgan Securities LLC, Deutsche Bank Securities Inc., BMO Capital Markets Corp., Goldman Sachs &amp; Co. LLC, Morgan Stanley &amp; Co. LLC, Scotia Capital (USA) Inc. and TD Securities (USA) LLC to become party to the Equity Distribution Agreement, we will file a prospectus supplement to reflect any additional sales agents. Any sales of common stock may be made in privately negotiated transactions and/or any other method permitted by law, including block trades or sales deemed to be an “at the market” offering as defined in Rule 415 under the Securities Act, which includes sales made directly on the NYSE, sales made to or through a market maker other than on an exchange or sales through an electronic communications network. </w:t>
      </w:r>
    </w:p>
    <w:p>
      <w:pPr>
        <w:pStyle w:val="TextBody"/>
        <w:bidi w:val="0"/>
        <w:spacing w:before="240" w:after="0"/>
        <w:jc w:val="left"/>
        <w:rPr>
          <w:rFonts w:ascii="Times New Roman" w:hAnsi="Times New Roman"/>
          <w:sz w:val="20"/>
        </w:rPr>
      </w:pPr>
      <w:r>
        <w:rPr>
          <w:rFonts w:ascii="Times New Roman" w:hAnsi="Times New Roman"/>
          <w:sz w:val="20"/>
        </w:rPr>
        <w:t xml:space="preserve">We will designate the maximum number of shares of common stock to be sold through the Designated Agent and the minimum pricing for the shares to be sold, each as agreed to by the Designated Agent. Subject to the terms and conditions of the Equity Distribution Agreement, the Designated Agent will use its commercially reasonable efforts to sell on our behalf all of the designated shares of common stock. We will submit orders to only one sales agent relating to the sale of shares of common stock on any given trading day. We may instruct the Designated Agent not to sell shares of common stock if the sales cannot be effected at or above a price designated by us in any such instruction. We or the Designated Agent may suspend the offering of shares of common stock by notifying the other.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Designated Agent a commission that will not exceed, but may be lower than, 2% of the gross proceeds of the shares sold pursuant to the Equity Distribution Agreement by the Designated Agent. The remaining sales proceeds, after deducting any expenses payable by us and any transaction fees imposed by any governmental or self-regulatory organization in connection with the sales, will equal our net proceeds for the 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Equity Distribution Agreement, we also may sell shares to one or more of our sales agents as principal for their own account at a price agreed upon at the time of sale. A sales agent may offer the shares of common stock sold to it as principal from time to time through public or private transactions at market prices prevailing at the time of sale, at fixed prices, at negotiated prices, at various prices determined at the time of sale or at prices related to prevailing market prices. If we sell shares of common stock to a sales agent as principal, we will enter into a separate agreement setting forth the terms of such transaction, and, to the extent required by applicable law, we will describe that separate agreement in a separate prospectus supplement or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All expenses of this offering will be paid by us. These expenses include the SEC’s filing fees and fees under state securities or “blue sky” laws. We estimate that the total expenses for the offering, excluding compensation payable to the sales agents under the terms of the Equity Distribution Agreement, will be approximately $1.0 million. </w:t>
      </w:r>
    </w:p>
    <w:p>
      <w:pPr>
        <w:pStyle w:val="TextBody"/>
        <w:bidi w:val="0"/>
        <w:spacing w:before="240" w:after="0"/>
        <w:jc w:val="left"/>
        <w:rPr>
          <w:rFonts w:ascii="Times New Roman" w:hAnsi="Times New Roman"/>
          <w:sz w:val="20"/>
        </w:rPr>
      </w:pPr>
      <w:r>
        <w:rPr>
          <w:rFonts w:ascii="Times New Roman" w:hAnsi="Times New Roman"/>
          <w:sz w:val="20"/>
        </w:rPr>
        <w:t xml:space="preserve">Settlements for sales of common stock generally are anticipated to occur on the standard settlement cycle then in effect.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As sales agents, the sales agents will not engage in any transactions that stabilize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sale of common stock on our behalf, the sales agents may be deemed to be “underwriters” within the meaning of the Securities Act, and the compensation of the sales agents may be deemed to be underwriting commissions or discounts. Pursuant to the Equity Distribution Agreement, we have agreed to provide indemnification and contribution to the sales agents against certain civil liabilities relating to the selling of our common stock,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the securities laws of certain jurisdictions, if applicable, the common stock must be offered or sold only through registered or licensed brokers or dealers. In addition, in certain jurisdictions, the common stock may not be offered or sold unless it has been registered or qualified for sale or an exemption is available and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common stock pursuant to the Equity Distribution Agreement will terminate upon the earlier of (i) the sale of shares of our common stock having an aggregate offering price of $500,000,000, (ii) the termination of the Equity Distribution Agreement by us or, solely with respect to a sales agent, by such sales agent, or (iii) the mutual agreement of us and our sales agents. </w:t>
      </w:r>
    </w:p>
    <w:p>
      <w:pPr>
        <w:pStyle w:val="TextBody"/>
        <w:bidi w:val="0"/>
        <w:spacing w:before="240" w:after="0"/>
        <w:jc w:val="left"/>
        <w:rPr>
          <w:rFonts w:ascii="Times New Roman" w:hAnsi="Times New Roman"/>
          <w:sz w:val="20"/>
        </w:rPr>
      </w:pPr>
      <w:r>
        <w:rPr>
          <w:rFonts w:ascii="Times New Roman" w:hAnsi="Times New Roman"/>
          <w:sz w:val="20"/>
        </w:rPr>
        <w:t xml:space="preserve">The sales agents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sales agents and their affiliates have provided, and may in the future provide, various investment banking, commercial banking, fiduciary and advisory services to us, and to persons and entities with relationships with us, from time to time, for which they have received, and may in the future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Affiliates of each of the sales agents are also lenders under our $900 million revolving credit facility or other indebtedness. To the extent any proceeds from the sale of shares of our common stock are used to reduce amounts outstanding under our revolving credit facility, other indebtedness or any future borrowings they may be a party to, such affiliates will receive a pro rata portion of such proceeds.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sales agents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our common stock. The sales agents and their respective affiliates may also make investment recommendations and/or publish or express independent research views in respect of our common stock and may at any time hold, or recommend to clients that they acquire, long and/or short positions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58343_6"/>
      <w:bookmarkEnd w:id="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this offering will be passed upon for us by Goodwin Procter LLP, Boston, Massachusetts, and by Venable LLP, Baltimore, Maryland, with respect to matters of Maryland law. Certain legal matters in connection with this offering will be passed upon for our sales agents by Skadden, Arps, Slate, Meagher &amp; Flom LLP, New York, New York. </w:t>
      </w:r>
    </w:p>
    <w:p>
      <w:pPr>
        <w:pStyle w:val="TextBody"/>
        <w:bidi w:val="0"/>
        <w:spacing w:before="480" w:after="0"/>
        <w:jc w:val="center"/>
        <w:rPr>
          <w:rFonts w:ascii="Times New Roman" w:hAnsi="Times New Roman"/>
          <w:b/>
          <w:sz w:val="20"/>
        </w:rPr>
      </w:pPr>
      <w:bookmarkStart w:id="9" w:name="supptx158343_7"/>
      <w:bookmarkEnd w:id="9"/>
      <w:r>
        <w:rPr>
          <w:rFonts w:ascii="Times New Roman" w:hAnsi="Times New Roman"/>
          <w:b/>
          <w:sz w:val="20"/>
        </w:rPr>
        <w:t xml:space="preserve">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requirements of the Securities Exchange Act of 1934, as amended (the “Exchange Act”), and in accordance with the Exchange Act, we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incorporated by reference herein is an important part of this prospectus supplement. Any statement contained in a document which is incorporated by reference in this prospectus supplement is automatically updated and superseded if information contained in this prospectus supplement, or information that we later file with the SEC prior to the termination of this offering, modifies or replaces this information. Our Exchange Act file number is 001-12504. We are incorporating by reference the documents listed below (excluding any portions of such documents that have been “furnished” but not “filed” for purposes of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4">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6">
              <w:r>
                <w:rPr>
                  <w:rStyle w:val="InternetLink"/>
                  <w:rFonts w:ascii="Times New Roman" w:hAnsi="Times New Roman"/>
                  <w:sz w:val="20"/>
                  <w:u w:val="single"/>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February 26, 2026</w:t>
              </w:r>
            </w:hyperlink>
            <w:r>
              <w:rPr>
                <w:rFonts w:ascii="Times New Roman" w:hAnsi="Times New Roman"/>
                <w:sz w:val="20"/>
              </w:rPr>
              <w:t xml:space="preserve">, </w:t>
            </w:r>
            <w:hyperlink r:id="rId8">
              <w:r>
                <w:rPr>
                  <w:rStyle w:val="InternetLink"/>
                  <w:rFonts w:ascii="Times New Roman" w:hAnsi="Times New Roman"/>
                  <w:sz w:val="20"/>
                </w:rPr>
                <w:t>May  13, 2026</w:t>
              </w:r>
            </w:hyperlink>
            <w:r>
              <w:rPr>
                <w:rFonts w:ascii="Times New Roman" w:hAnsi="Times New Roman"/>
                <w:sz w:val="20"/>
              </w:rPr>
              <w:t xml:space="preserve">, </w:t>
            </w:r>
            <w:hyperlink r:id="rId9">
              <w:r>
                <w:rPr>
                  <w:rStyle w:val="InternetLink"/>
                  <w:rFonts w:ascii="Times New Roman" w:hAnsi="Times New Roman"/>
                  <w:sz w:val="20"/>
                </w:rPr>
                <w:t>June  3,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and </w:t>
            </w:r>
            <w:hyperlink r:id="rId11">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as updated by </w:t>
            </w:r>
            <w:hyperlink r:id="rId12">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Exchange Act after the date of this prospectus supplement and prior to the termination of this offering,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supplement is delivered, a copy of any or all of the documents incorporated by reference in this prospectus supplement. You may request a copy of these filings, and any exhibits we have specifically incorporated by reference as an exhibit in this prospectus supplement,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an interest in a fractional share or multiple shares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and/or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purchase contracts relating to a specified number of shares of common stock, preferred stock or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of these classes or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these securities in amounts, at prices and on terms determined at the time of offering. The specific plan of distribution for any securities to be offered will be provided in a prospectus supplement. If we use agents, underwriters or dealers to sell these securities, a prospectus supplement will name them and describe their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securities to be offered will be described in a supplement to this prospectus. The prospectus supplement may also add, update or change information contained in this prospectus. You should read this prospectus and any prospectus supplement, together with additional information described under the heading “Where You Can Find More Information,” before you make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“MAC.” On August 4, 2026, the last reported sale price of our common stock on the NYSE was $25.62 per share. As of the date of this prospectus, none of the other securities that we may offer by this prospectus is listed on any national securities exchange or automated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x158325_5">
        <w:r>
          <w:rPr>
            <w:rStyle w:val="InternetLink"/>
            <w:rFonts w:ascii="Times New Roman" w:hAnsi="Times New Roman"/>
            <w:b/>
            <w:sz w:val="24"/>
          </w:rPr>
          <w:t>Risk Factors</w:t>
        </w:r>
      </w:hyperlink>
      <w:r>
        <w:rPr>
          <w:rFonts w:ascii="Times New Roman" w:hAnsi="Times New Roman"/>
          <w:b/>
          <w:sz w:val="24"/>
        </w:rPr>
        <w:t xml:space="preserve">” beginning on page 4 of this prospectus, as well as the Risk Factors contained in the applicable prospectus supplement and in the documents we incorporate by reference in this prospectus to read about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66"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3">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4">
              <w:r>
                <w:rPr>
                  <w:rStyle w:val="InternetLink"/>
                  <w:rFonts w:ascii="Times New Roman" w:hAnsi="Times New Roman"/>
                  <w:sz w:val="20"/>
                </w:rPr>
                <w:t>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6">
              <w:r>
                <w:rPr>
                  <w:rStyle w:val="InternetLink"/>
                  <w:rFonts w:ascii="Times New Roman" w:hAnsi="Times New Roman"/>
                  <w:sz w:val="20"/>
                </w:rPr>
                <w:t>THE MACERICH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58325_1"/>
      <w:bookmarkEnd w:id="1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on Form S-3 with the SEC as a “well-known seasoned issuer” as defined in Rule 405 under the Securities Act of 1933, as amended (the “Securities Act”), using a “shelf” registration process. By using a shelf registration statement, we or any selling securityholders may sell any combination of our common stock, preferred stock, depositary shares, debt securities, warrants, rights, stock purchase contracts or units from time to time and in one or more offerings. Each time we sell securities, we will provide a supplement to this prospectus that contains specific information about the securities being offered (if other than common stock)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securities, you should carefully read both this prospectus and any prospectus supplement, together with the additional information described under the headings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the context otherwise requires, references in this prospectus to the “Company,”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rPr>
      </w:pPr>
      <w:bookmarkStart w:id="11" w:name="tx158325_2"/>
      <w:bookmarkEnd w:id="1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our registration statement on Form S-3 with the SEC under the Securities Act. We also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or will be filed through an amendment to our registration statement on Form S-3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58325_3"/>
      <w:bookmarkEnd w:id="12"/>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the information we file with the SEC, which means that we can disclose important information to you by referring you to those documents. The information incorporated by reference is considered to be part of this prospectus, and later information filed with the SEC will update and supersede the information included or incorporated by reference in this prospectus. We incorporate by reference in this prospectus the following information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15">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6">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17">
              <w:r>
                <w:rPr>
                  <w:rStyle w:val="InternetLink"/>
                  <w:rFonts w:ascii="Times New Roman" w:hAnsi="Times New Roman"/>
                  <w:sz w:val="20"/>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8">
              <w:r>
                <w:rPr>
                  <w:rStyle w:val="InternetLink"/>
                  <w:rFonts w:ascii="Times New Roman" w:hAnsi="Times New Roman"/>
                  <w:sz w:val="20"/>
                </w:rPr>
                <w:t>February 26, 2026</w:t>
              </w:r>
            </w:hyperlink>
            <w:r>
              <w:rPr>
                <w:rFonts w:ascii="Times New Roman" w:hAnsi="Times New Roman"/>
                <w:sz w:val="20"/>
              </w:rPr>
              <w:t xml:space="preserve">, </w:t>
            </w:r>
            <w:hyperlink r:id="rId19">
              <w:r>
                <w:rPr>
                  <w:rStyle w:val="InternetLink"/>
                  <w:rFonts w:ascii="Times New Roman" w:hAnsi="Times New Roman"/>
                  <w:sz w:val="20"/>
                </w:rPr>
                <w:t>May  13, 2026</w:t>
              </w:r>
            </w:hyperlink>
            <w:r>
              <w:rPr>
                <w:rFonts w:ascii="Times New Roman" w:hAnsi="Times New Roman"/>
                <w:sz w:val="20"/>
              </w:rPr>
              <w:t xml:space="preserve">, </w:t>
            </w:r>
            <w:hyperlink r:id="rId20">
              <w:r>
                <w:rPr>
                  <w:rStyle w:val="InternetLink"/>
                  <w:rFonts w:ascii="Times New Roman" w:hAnsi="Times New Roman"/>
                  <w:sz w:val="20"/>
                </w:rPr>
                <w:t>June  3, 2026</w:t>
              </w:r>
            </w:hyperlink>
            <w:r>
              <w:rPr>
                <w:rFonts w:ascii="Times New Roman" w:hAnsi="Times New Roman"/>
                <w:sz w:val="20"/>
              </w:rPr>
              <w:t xml:space="preserve">, </w:t>
            </w:r>
            <w:hyperlink r:id="rId21">
              <w:r>
                <w:rPr>
                  <w:rStyle w:val="InternetLink"/>
                  <w:rFonts w:ascii="Times New Roman" w:hAnsi="Times New Roman"/>
                  <w:sz w:val="20"/>
                </w:rPr>
                <w:t>June  17, 2026</w:t>
              </w:r>
            </w:hyperlink>
            <w:r>
              <w:rPr>
                <w:rFonts w:ascii="Times New Roman" w:hAnsi="Times New Roman"/>
                <w:sz w:val="20"/>
              </w:rPr>
              <w:t xml:space="preserve">, and </w:t>
            </w:r>
            <w:hyperlink r:id="rId22">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as updated by </w:t>
            </w:r>
            <w:hyperlink r:id="rId23">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Securities Exchange Act of 1934, as amended (the “Exchange Act”), after the date of this prospectus and until all of the securities offered under this prospectus are sold,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is delivered a copy of any or all of the documents incorporated by reference in this prospectus. You may request a copy of these filings, and any exhibits we have specifically incorporated by reference as an exhibit to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58325_4"/>
      <w:bookmarkEnd w:id="1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and any prospectus supplement will contain or incorporate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Path Forward Plan and our ability to meet the goals established under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operations, including as a result of any increased borrowing costs on our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under “Item 1A. Risk Factors” in our Annual Report on Form 10-K for the year ended December 31, 2025, as such risk factors may be amended, supplemented or superseded from time to time by other reports we file with the SEC in the future, including subsequent Annual Reports on Form 10-K and Quarterly Reports on Form 10-Q, and in any prospectus supplement, which disclosures are incorporated herein by reference. We caution you not to place undue reliance on these forward-looking statements, which speak only as of the date of this prospectus, any prospectus supplement or any other document incorporated by reference into this prospectus or any prospectus supplement. We do not intend, and we undertake no obligation, to update any forward-looking information to reflect events or circumstances after the date of this prospectus or any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58325_5"/>
      <w:bookmarkEnd w:id="1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an investment decision, you should carefully consider any risk factors set forth in the applicable prospectus supplement and the documents incorporated by reference in this prospectus, including our Annual Report on Form 10-K, our Quarterly Reports on Form 10-Q, and the applicable prospectus supplement, as well as other information we include or incorporate by reference in this prospectus and in the applicable prospectus supplement. See “Where You Can Find More Information” and “Incorporation of Certain Documents by Reference.” </w:t>
      </w:r>
    </w:p>
    <w:p>
      <w:pPr>
        <w:pStyle w:val="TextBody"/>
        <w:bidi w:val="0"/>
        <w:spacing w:before="480" w:after="0"/>
        <w:jc w:val="center"/>
        <w:rPr>
          <w:rFonts w:ascii="Times New Roman" w:hAnsi="Times New Roman"/>
          <w:b/>
          <w:sz w:val="20"/>
        </w:rPr>
      </w:pPr>
      <w:bookmarkStart w:id="15" w:name="tx158325_6"/>
      <w:bookmarkEnd w:id="15"/>
      <w:r>
        <w:rPr>
          <w:rFonts w:ascii="Times New Roman" w:hAnsi="Times New Roman"/>
          <w:b/>
          <w:sz w:val="20"/>
        </w:rPr>
        <w:t xml:space="preserve">THE MACERICH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rPr>
      </w:pPr>
      <w:r>
        <w:rPr>
          <w:rFonts w:ascii="Times New Roman" w:hAnsi="Times New Roman"/>
          <w:sz w:val="20"/>
        </w:rPr>
        <w:t xml:space="preserve">We are a self-administered and self-managed real estate investment trust (“REIT”) and we conduct all of our operations through the Operating Partnership and our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We own all seven of the management companies. </w:t>
      </w:r>
    </w:p>
    <w:p>
      <w:pPr>
        <w:pStyle w:val="TextBody"/>
        <w:bidi w:val="0"/>
        <w:spacing w:before="240" w:after="0"/>
        <w:jc w:val="left"/>
        <w:rPr>
          <w:rFonts w:ascii="Times New Roman" w:hAnsi="Times New Roman"/>
          <w:sz w:val="20"/>
        </w:rPr>
      </w:pPr>
      <w:r>
        <w:rPr>
          <w:rFonts w:ascii="Times New Roman" w:hAnsi="Times New Roman"/>
          <w:sz w:val="20"/>
        </w:rPr>
        <w:t xml:space="preserve">We were organized as a Maryland corporation in September 1993. Our principal executive offices are located at 401 Wilshire Boulevard, Suite 700, Santa Monica, California 90401. Our telephone number is (310) 394-6000. Our website address is www.macerich.com. The information on our website does not constitute part of this prospectus or any prospectus supplement. </w:t>
      </w:r>
    </w:p>
    <w:p>
      <w:pPr>
        <w:pStyle w:val="TextBody"/>
        <w:bidi w:val="0"/>
        <w:spacing w:before="480" w:after="0"/>
        <w:jc w:val="center"/>
        <w:rPr>
          <w:rFonts w:ascii="Times New Roman" w:hAnsi="Times New Roman"/>
          <w:b/>
          <w:sz w:val="20"/>
        </w:rPr>
      </w:pPr>
      <w:bookmarkStart w:id="16" w:name="tx158325_7"/>
      <w:bookmarkEnd w:id="1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particular securities, we will describe in a prospectus supplement relating to the securities offered how we intend to use the proceeds from their sale. We may invest funds not required immediately for such purposes in short-term investment grade securities. We will not receive any proceeds from the sale of securities by selling securityholders. </w:t>
      </w:r>
    </w:p>
    <w:p>
      <w:pPr>
        <w:pStyle w:val="TextBody"/>
        <w:bidi w:val="0"/>
        <w:spacing w:before="480" w:after="0"/>
        <w:jc w:val="center"/>
        <w:rPr>
          <w:rFonts w:ascii="Times New Roman" w:hAnsi="Times New Roman"/>
          <w:b/>
          <w:sz w:val="20"/>
        </w:rPr>
      </w:pPr>
      <w:bookmarkStart w:id="17" w:name="tx158325_8"/>
      <w:bookmarkEnd w:id="17"/>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description of the material terms of our capital stock. Provisions of our Articles of Amendment and Restatement, as further amended, corrected and supplemented (our “Charter”), and our Amended and Restated Bylaws (our “Bylaws”) fix or may affect some of the terms of our capital stock. For a complete description of the terms of all of our capital stock, including our common stock, we refer you to the Maryland General Corporation Law (the “MGCL”), our Charter and our Bylaws. Our Charter and our Bylaws are incorporated by reference as exhibits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us to issue up to 575,000,000 shares of capital stock, consisting of 500,000,000 shares of common stock, $0.01 par value per share, 15,000,000 shares of preferred stock, $0.01 par value per share, and 60,000,000 shares of excess stock, $0.01 par value per share (“excess stock”). As of June 30, 2026, we had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283,839,533 shares of common stock (including 280,158 shares of unvested restricted common stock) issued and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1,961,345 shares of Series D Cumulative Convertible Preferred Stock, par value $0.01 per share (the “Series D Preferred Stock”), authorized, none of which are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26,371 shares of our common stock were reserved for issuance upon exercise of outstanding employee stock options and employee stock appreciation rights, 522,667 shares of our common stock were reserved for issuance upon the payment of stock units issued under our Eligible Directors’ Deferred Compensation/Phantom Stock Plan and 2003 Equity Incentive Plan, each as amended and restated, 13,779,659 shares of our common stock were reserved for issuance upon redemption of outstanding limited partnership units and long-term incentive plan units (including 2,484,559 of unvested long-term incentive plan units) of the Operating Partnership, and 100,776 shares of our common stock were reserved for issuance upon redemption of outstanding limited partnership units of MACWH, LP. </w:t>
      </w:r>
    </w:p>
    <w:p>
      <w:pPr>
        <w:pStyle w:val="TextBody"/>
        <w:bidi w:val="0"/>
        <w:spacing w:before="240" w:after="0"/>
        <w:jc w:val="left"/>
        <w:rPr>
          <w:rFonts w:ascii="Times New Roman" w:hAnsi="Times New Roman"/>
          <w:sz w:val="20"/>
        </w:rPr>
      </w:pPr>
      <w:r>
        <w:rPr>
          <w:rFonts w:ascii="Times New Roman" w:hAnsi="Times New Roman"/>
          <w:sz w:val="20"/>
        </w:rPr>
        <w:t xml:space="preserve">Shares of Series D Preferred Stock, if issued, could be converted into shares of our common stock based on a formula set forth in the applicable Articles Supplementary. Rights of holders of Series D Preferred Stock include dividend and liquidation preferences over the holders of shares of our common stock and voting rights in some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Charter will be set forth in articles supplementary filed with the State Department of Assessments and Taxation of Maryland prior to the issuance of any classified or reclassified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Transfer and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Internal Revenue Code of 1986, as amended (the “Code”), both of the following conditions relating to ownership of shares must be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capital stock must be beneficially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“Material United States Federal Income Tax Considerations—Classification and Taxation of The Macerich Company as a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Restricts the Ownership and Transfer of Shares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exceptions specified in our Charter, no stockholder may own, or be deemed to own by virtue of the attribution provisions of the Code, in excess of the lesser of 5% in value or in number of shares of our 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Charter excludes from the ownership limit some persons and their respective families and affiliates, but provides that no excluded participant may own (directly or indirectly) more than the excluded participant’s percentage limitation, as described below under “—Issuance of Excess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See “—Issuance of Excess Stock”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Excess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owning (directly or indirectly) shares of our stock in excess of the ownership limit as determined in accordance with our Charter or owning (directly or indirectly) more than a specified percentage of our common stock as determined in accordance with our Charter (that person’s “percentage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preferred stock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becoming “closely held” under Section 856(h) of the Code (determined without regard to Code Section 856(h)(2) and by deleting the words “the last half of” in the first sentence of Code Section 542(a)(2) in applying Code Section 856(h));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disqualification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Charter. </w:t>
      </w:r>
    </w:p>
    <w:p>
      <w:pPr>
        <w:pStyle w:val="TextBody"/>
        <w:bidi w:val="0"/>
        <w:spacing w:before="240" w:after="0"/>
        <w:jc w:val="left"/>
        <w:rPr>
          <w:rFonts w:ascii="Times New Roman" w:hAnsi="Times New Roman"/>
          <w:sz w:val="20"/>
        </w:rPr>
      </w:pPr>
      <w:r>
        <w:rPr>
          <w:rFonts w:ascii="Times New Roman" w:hAnsi="Times New Roman"/>
          <w:sz w:val="20"/>
        </w:rPr>
        <w:t xml:space="preserve">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Charter contains provisions that prohibit the purported transferee of shares of excess stock from receiving in return for the transfer an amount that reflects any appreciation in the original shares during the period that the shares of excess stock were outstanding. Our Charter requires any amount received by a purported transferee, in excess of the amount permitted to be received, to be paid to the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Charter further provides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contained in our Charter will not be automatically removed even if the REIT provisions of the Code are changed so as to no longer contain any ownership concentration limitation or if the ownership concentration limitation is increased. Amendments to our Charter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representing shares of our common stock and our preferred stock bear, or will bear, a legend referring to the restrictions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All persons who own, directly or by virtue of the attribution provisions of the Code, more than 5% of our outstanding stock must file an affidavit with us containing the information specified in our Charter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Provisions of Maryland Law and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ownership limit, certain provisions of our Charter, Bylaws and the MGCL may delay, defer or prevent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Director Nominations and New Business; Procedures for Special Meetings Requested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our notice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Charter and Bylaws;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Exemptions for Our Original Founders from the Maryland Business Combination Act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immediately prior to the date in question, was the beneficial owner, directly or indirectly, of 10% or more of the voting power of the then outstanding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permitted by the MGCL, our Charter exempts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Non-Stockholder Constituencies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Our Charter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unissued shares of our stock and issue one or more classes or series of common stock or preferred stock and authorizes the creation and issuance of rights entitling holders thereof to purchase from us shares of stock or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 Our Charter exempts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Subtitle 8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 bylaws, to be subject to any or all of the following five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3-803—requiring classification of the board of directors into three classes;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3-804(a)—requiring that stockholders may remove any director by the affirmative vote of at least two- thirds of all the votes entitled to be cast by the stockholders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3-804(b)— requiring that the number of directors be fixed only by vote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3-804(c)—requiring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3-805—requiring that a special meeting of stockholders may be called only upon the written request of stockholders entitled to cast at least a majority of all the votes entitled to be cast at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our board of directors’ resolution, we supplemented our Charter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 to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our board of directors and approved by the affirmative vote of stockholders entitled to cast a majority of all the votes entitled to be cast on the matter. Any amendment to our Charter related to the (i) removal of directors, (ii) vote required to approve any extraordinary transaction </w:t>
      </w:r>
      <w:r>
        <w:rPr>
          <w:rFonts w:ascii="Times New Roman" w:hAnsi="Times New Roman"/>
          <w:i/>
          <w:sz w:val="20"/>
        </w:rPr>
        <w:t>(i.e.</w:t>
      </w:r>
      <w:r>
        <w:rPr>
          <w:rFonts w:ascii="Times New Roman" w:hAnsi="Times New Roman"/>
          <w:sz w:val="20"/>
        </w:rPr>
        <w:t xml:space="preserv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stockholders entitled to cast two-thirds of all the votes entitled to be cast on the matter.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Charter,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Election; Removal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eight directors. Our Charter provides that the number of directors on our board of directors is fixed pursuant to our Bylaws, but may not be fewer than the minimum required by the MGCL, which is one. Our Bylaws provide that our board of directors must consist of not less than one and not more than twelve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directors are required to be elected by the affirmative vote of a majority of all the votes cast on the matter at a meeting at which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holders of any series of preferred stock, our Charter and Bylaws provide that a director may be removed only for cause and then only by the affirmative vote of the holders of shares of stock entitled to cast at least two-thirds of the votes entitled to be cast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Dissolution </w:t>
      </w:r>
    </w:p>
    <w:p>
      <w:pPr>
        <w:pStyle w:val="TextBody"/>
        <w:bidi w:val="0"/>
        <w:spacing w:before="120" w:after="0"/>
        <w:jc w:val="left"/>
        <w:rPr>
          <w:rFonts w:ascii="Times New Roman" w:hAnsi="Times New Roman"/>
          <w:sz w:val="20"/>
        </w:rPr>
      </w:pPr>
      <w:r>
        <w:rPr>
          <w:rFonts w:ascii="Times New Roman" w:hAnsi="Times New Roman"/>
          <w:sz w:val="20"/>
        </w:rPr>
        <w:t xml:space="preserve">Our dissolution must be approved by our board of directors and by the affirmative vote of not less than a majority of all of the votes entitled to be cast on the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Vote for Extraordinary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Charter, which provide that amendments to our Charter (except for certain instances) and dissolution must be approved by the vote of holders of a majority of our outstanding shares of common stock entitled to vote on the matter, our Charter does not provide for a lesser percentage in these situations.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Charter or Bylaws and (iv) claims governed by the internal affairs doctrine must be brought in the Circuit Court for Baltimore City, Maryland (or if that court does not have jurisdiction, the United States District Court for the District of Maryland, Baltimore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58325_9"/>
      <w:bookmarkEnd w:id="18"/>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our Charter regarding excess stock (as described above), each outstanding share of common stock entitles the holder to one vote on all matters submitted to a vote of stockholders, including the election of directors, and, except as may be provided with respect to any other class or series of our stock, the holders of shares of our common stock possess the exclusive voting power. Subject to the provisions of our Charter regarding excess stock and the rights of any holders of preferred stock, holders of our common stock are entitled to receive the dividends authorized by our board of directors and declared by us out of funds legally available for this purpose. 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 Holders of our common stock have no preemptive or other subscription or conversion rights. See “Description of Our Capital Stock—Selected Provisions of Maryland Law and of Our Charter and Bylaws.” Our common stock is not subject to assessment.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Under the MGCL and our Bylaws, stockholders are entitled to receive prior notice of our annual and special meetings of stockholders. Notice is given to a stockholder when it is personally delivered to him or her, left at his or her residence or usual place of business, mailed to him or her at his or her address as it appears on our records or transmitted to him or her by electronic mail or other electronic means or by any other means permitted by Maryland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58325_10"/>
      <w:bookmarkEnd w:id="19"/>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preferred stock will, when issued, be fully paid and nonassessable and will not have, or be subject to, any preemptive or similar rights. The terms of any preferred stock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class or series of preferred stock offered by that supplement will describe the specific terms of those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that preferred stock offered, the liquidation preference per share and the offering price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thereof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on that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that preferred stock on any securities exchange; the terms and conditions, if applicable, upon which that preferred stock will be convertible into shares of common stock, including the conversion price (or manner of calculation of the conversion price)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that preferred stock; any limitations on issuance of any class or series of preferred stock ranking senior to or on a parity with that class or series of preferred stock as to dividend rights and rights upon our liquidation, dissolution or winding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those limitations described elsewhere in this prospectus and any prospectus supplement, any other limitations on actual and constructive ownership and restrictions on transfer, in each case as may be appropriate to preserve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that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preferred stock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common stock and to all equity securities issued by us the terms of which expressly provide that those equity securities rank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so provide or which do not expressly provide that those equity securities rank junior or senior to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expressly provide that those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preferred stock will be entitled to receive, when, as and if authorized by our board of directors and declared by us, out of our assets legally available for payment, cash dividends at rates and on dates as will be set forth in the applicable prospectus supplement. Each dividend will be payable to holders of record as they appear on our stock transfer books on the record dates as may be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or class of our preferred stock may be cumulative or noncumulative, as provided in the applicable prospectus supplement. Dividends, if cumulative, will be cumulative from and after the date set forth in the applicable prospectus supplement. If our board of directors fails to authorize a dividend payable on a dividend payment date on any series or class of preferred stock for which dividends are noncumulative, then the holders of that series or class of preferred stock will have no right to receive a dividend in respect of the dividend period ending on that dividend payment date, and we will have no obligation to pay the dividend accrued for that period, whether or not dividends on such series or class are declared or paid for any future period.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following paragraph, unless full cumulative dividends on the preferred stock of that series or class have been or contemporaneously are authorized and paid or authorized and a sum sufficient for that payment is set apart for payment for all past dividend periods, no dividends (other than in the common stock or other stock of ours ranking junior to the preferred stock of that series or class as to dividends and upon liquidation) may be authorized or paid or set aside for payment nor may any other distribution be authorized or made on the common stock or any other stock of ours ranking junior to or on a parity with the preferred stock of that series or class as to dividends or upon liquidation. In addition, common stock or any other stock of ours ranking junior to or on a parity with the preferred stock of that series or class as to dividends or upon liquidation may not be redeemed, purchased or otherwise acquired for any consideration (or any amounts be paid to or made available for a sinking fund for the redemption of any shares of any such stock) by us (except by conversion into or exchange for other stock of ours ranking junior to the preferred stock of that series or class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for all past dividend periods are not paid in full (or a sum sufficient for the full payment is not set apart) upon the shares of preferred stock of any series or class and the shares of any other series or class of preferred stock ranking on a parity as to dividends with the preferred stock of that series or class, then all dividends authorized on shares of preferred stock of that series or class and any other series or class of preferred stock ranking on a parity as to dividends with that series or class of preferred stock will be authorized pro rata, so that the amount of dividends authorized per share on the preferred stock of that series or class and such other series or class of preferred stock will in all cases bear to each other the same ratio that accrued dividends per share on the shares of preferred stock of that series or class (which will not include any accumulation in respect of unpaid dividends for prior dividend periods if the preferred stock does not have a cumulative dividend) and that other series or class of preferred stock bear to each other. No interest, or sum of money in lieu of interest, will be payable in respect of any dividend payment or payments on preferred stock of that series or class that may be in arrears.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payment made on shares of a series or class of preferred stock will first be credited against the earliest accrued but unpaid dividend due with respect to shares of that series or class that remains payable.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 distribution by dividend, redemption or other acquisition of stock or otherwise is permitted under the MGCL, amounts that would be needed, if we were to be dissolved at the time of the distribution, to satisfy the preferential rights upon dissolution of stockholders whose preferential rights on dissolution are superior to those receiving the distribution will not be added to our total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so states, the shares of preferred stock will be subject to mandatory redemption or redemption at our option, in whole or in part, in each case on the terms, at the times and at the redemption prices set forth in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or class of preferred stock that is subject to mandatory redemption will specify the number of shares of that preferred stock that are to or may be redeemed by us in each year commencing after a date to be specified, at a redemption price per share to be specified, together with an amount equal to all accumulated and unpaid dividends on that preferred stock (which will not, if that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or class is payable only from the net proceeds of the issuance of our stock, the terms of that preferred stock may provide that, if no such stock shall have been issued or to the extent the net proceeds from any issuance are insufficient to pay in full the aggregate redemption price then due, that preferred stock will automatically and mandatorily be converted into shares of our applicable stock pursuant to conversion provisions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full cumulative dividends on all outstanding shares of that series or class of preferred stock have been or contemporaneously are authorized and paid or authorized and a sum sufficient for that payment is set apart for payment for all past dividend periods, we may not redeem any shares of that series or class of preferred stock unless all outstanding shares of preferred stock of that series or class are simultaneously redeemed and may not purchase or otherwise acquire directly or indirectly any shares of preferred stock of that series or class (except by conversion into or exchange for our stock ranking junior to the preferred stock of that series or class as to dividends and upon liquidation). However, this will not prevent the purchase or acquisition of shares of preferred stock of that series or class to preserve our REIT status or pursuant to a purchase or exchange offer made on the same terms to holders of all outstanding shares of preferred stock of that series or class.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or class are to be redeemed, the number of shares to be redeemed will be determined by us, and those shares may be redeemed pro rata from the holders of record of those shares in proportion to the number of those shares held by those holders (with adjustments to avoid redemption of fractional shares) or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Each notice of redemption will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the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the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as to the shares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fewer than all the shares of preferred stock of any series are to be redeemed, the notice mailed to each holder will also specify the number of shares of preferred stock to be redeemed from each holder. If notice of redemption of any shares of preferred stock has been given, and if the funds necessary for that redemption have been irrevocably set apart by us in trust for the benefit of the holders of any shares of preferred stock so called for redemption, then from and after the redemption date, dividends will cease to accrue on those shares of preferred stock, those shares of preferred stock will no longer be deemed outstanding and all rights of the holders of those shares will terminate, except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our voluntary or involuntary liquidation, dissolution or winding up, then, before we will make any distribution or payment to the holders of common stock or any other series or class of stock ranking junior to any series or class of the preferred stock in the distribution of assets upon any liquidation, dissolution or winding up, the holders of that series or class of preferred stock will be entitled to receive, after payment or provision for payment of our debts and other liabilities and amounts due to stockholders whose preferential rights are senior to those of that series or class of preferred stock, out of our assets legally available for distribution to stockholders, liquidating distributions in the amount of the liquidation preference per share (set forth in the applicable prospectus supplement), plus an amount equal to all dividends accrued and unpaid on the preferred stock (which will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upon any voluntary or involuntary liquidation, dissolution or winding up, our legally available assets are insufficient to pay the amount of the liquidating distributions on all outstanding shares of any series or class of preferred stock and the corresponding amounts payable on all shares of other classes or series of our stock ranking on a parity with that series or class of preferred stock in the distribution of assets upon liquidation, dissolution or winding up, then the holders of that series or class of preferred stock and all other such classes or series of stock will share ratably in any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liquidating distributions have been made in full to all holders of any series or class of preferred stock, we will distribute our remaining assets among the holders of any other classes or series of stock ranking junior to that series or class of preferred stock upon liquidation, dissolution or winding up, according to their respective rights and preferences and in each case according to their respective number of shares. For these purposes, none of the following will be deemed to constitute a liquidation, dissolution or winding up of our affairs: (i) a consolidation, merger or other business combination of our Company with one or more corporations, REITs or other entities, (ii) our dissolution, liquidation, winding up, or reorganization immediately followed by incorporation of another entity to which such assets are distributed, (iii) a sale, lease, conveyance or other disposition of all or substantially all of our assets, properties or business to another entity or (iv) a statutory share exchange by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not have any voting rights, except as set forth below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provided otherwise for any series or class of preferred stock, so long as any shares of preferred stock of a series or class remain outstanding,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all other series or classes of preferred stock upon which like voting rights have been conferred and are exercisable), given in person or by proxy, either in writing or at a meeting, authorize or create, or increase the authorized or issued amount of, any class or series of stock ranking senior to that series or class of preferred stock with respect to payment of dividends or the distribution of assets upon liquidation, dissolution or winding up or reclassify any authorized stock into any of those shares, or create, authorize or issue any obligation or security convertible into or evidencing the right to purchase any of those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any other series or classes of preferred stock upon which like voting rights have been conferred and are exercisable), given in person or by proxy, either in writing or at a meeting, amend, alter or repeal the provisions of our Charter or articles supplementary for such series or class of preferred stock so as to materially and adversely alter or change the rights, preferences or privileges of that series or class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no such vote or consent is required in connection with (i) any increase in the total number of our authorized shares; (ii) the authorization or increase of any class or series of shares of stock ranking, as to distribution rights and liquidation preference, on a parity with or junior to that series or class of preferred stock; (iii) any merger or consolidation in which we are the surviving entity if, immediately after the merger or consolidation, there are outstanding no shares of stock and no securities convertible into shares of stock ranking as to distribution rights or liquidation preference senior to that series or class of preferred stock other than our securities outstanding prior to such merger or consolidation; (iv) any merger or consolidation in which we are not the surviving entity if, as result of the merger or consolidation, the holders of that series or class of preferred stock receive shares of stock or other equity securities with preferences, rights and privileges substantially identical with the preferences, rights and privileges of that series or class of preferred stock and there are outstanding no shares of stock or stock or other equity securities of the surviving entity ranking as to distribution rights or liquidation preference senior to that series or class of preferred stock other than our securities outstanding prior to such merger or consolidation; or (v) our dissolution, liquidation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These voting provisions will not apply if, at or prior to the time when the act with respect to which that vote would otherwise be required will be effected, all outstanding shares of that series or class of preferred stock have been redeemed or called for redemption upon proper notice and (i) sufficient funds have been deposited in trust to effect that redemption or (ii) in a case involving an issuance of stock ranking senior to such series or class of preferred stock, the redemption price (other than any portion thereof consisting of accrued and unpaid dividends) is to be paid solely from the proceeds of such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shares of any series or class of preferred stock are convertible into shares of common stock will be set forth in the applicable prospectus supplement. The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into which the preferred stock is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manner of calculation of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our option or the option of the holders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or class of preferred stock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58325_11"/>
      <w:bookmarkEnd w:id="20"/>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depositary shares that we may offer under this prospectus. While the terms we have summarized below will generally apply to any depositary shares we may offer under this prospectus, we will describe the particular terms of any depositary shares that we may offer in more detail in the applicable prospectus supplement. The terms of any depositary shares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us,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depositary shares we may issue does not purport to be complete and is subject to, and is qualified in its entirety by reference to, all the provisions of the deposit agreement and the depositary receipts applicable to the particular depositary shares. We urge you to read the applicable prospectus supplements related to the depositary shares that we sell under this prospectus, as well as the complete deposit agreement and depositary receipts that contain the terms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with respect to the shares of the applicable series of the preferred stock proportionately to the record holders of the depositary receipts entitled to receive the distribution. Such distributions are subject to certain obligations of holders to file proofs, certificates and other information and to pay certain charges and expenses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non-cash distribution, the depositary will distribute property it receives to the record holders of depositary receipts entitled to the property unless the depositary determines that it cannot be made proportionately or it is not feasible to make such distribution, in which case the depositary may, with our approval, sell such property and distribute the net proceeds of such sale to holders of the depositary receipts entitled to receive the distribution. Such distributions by the depositary are subject to certain obligations of holders to file proofs, certificates, and other information and to pay certain charges and expenses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called previously for redemption, upon surrender of the depositary receipts at the corporate trust office of the depositary,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the related preferred stock on the basis of the proportion of preferred stock represented by each depositary share as specified in the applicable prospectus supplement, but holders of such preferred stock will not thereafter be entitled to receive depositary shares therefor. If the depositary receipts delivered by the holder evidence a number of depositary shares in excess of the number of depositary shares representing the preferred stock to be withdrawn, the depositary will deliver to such holder at the same time a new depositary receipt evidencing such excess number of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preferred stock held by the depositary, the depositary will redeem as of the same redemption date the number of depositary shares representing the preferred stock so redeemed, provided we have paid in full to the depositary the redemption price of the preferred stock to be redeemed plus an amount equal to any accrued and unpaid dividends thereon to the date fixed for redemption. With respect to noncumulative preferred stock, dividends will be paid for the current dividend period only. The redemption price per depositary share will be equal to the redemption price and any other amounts per share payable with respect to the preferred stock. If less than all the depositary shares are to be redeemed, the depositary shares to be redeemed will be selected pro rata or by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such notice to the record holders of the depositary receipts related to such preferred stock. Each record holder of depositary receipts on the record date will be entitled to instruct the depositary as to the exercise of the voting rights of the preferred stock related to such holder’s depositary receipts. The record date for depositary receipts will be the same date as the record date for preferred stock. The depositary will vote the preferred stock related to such depositary receipts in accordance with such instructions, and we will agree to take all reasonable action that the depositary deems necessary to enable it to vote the preferred stock. The depositary will abstain from voting the preferred stock represented by such depositary shares to the extent it does not receive specific instructions from the holders of depositary receipts.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a depositary receipt will be entitled to the fraction of the liquidation preference accorded the preferred stock represented by the depositary share evidenced by such depositary receipt,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receipts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If the depositary shares evidenced by a depositary receipt are to be converted or exchanged in part only, one or more new depositary receipts will be issued for any depositary shares not to be converted or exchanged. No fractional shares will be issued upon conversion or exchange. If conversion or exchange would otherwise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the depositary and us. However, any amendment that materially and adversely alters the rights of the holders of depositary receipts will not be effective unless it has been approved by the existing holders of at least a majority of the depositary shares evidenced by outstanding depositary receipts.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terminate the deposit agreement if (1) such termination is to preserve our status as a REIT or (2) a majority of each class of preferred stock affected by such termination consents to such termination. Upon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In addition,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in respect of the related share of preferred stock in connection with any liquidation, dissolution, or winding-up and such distribution has been distributed to the holders of depositary receipts evidencing the depositary shares representing such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preferred stock shall have been converted into capital stock that is not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depositary’s fees and expenses for any duties that holders request to be performed which are outside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resignation, and we may remove the depositary at any time. Any such resignation or removal will take effect upon the appointment of a successor depositary. A successor depositary must be appointed within 60 days after delivery of the notice of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any reports and communications from us which it receives with respect to the related shares of preferred stock. Neither we nor the depositary will be liable if it is prevented from or delayed in, by law or any circumstances beyond its control, performing its obligations under the deposit agreement. The obligations of the depositary and us under the deposit agreement will be limited to performing their duties thereunder in good faith and without gross negligence or willful misconduct.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to be competent to give such information, and on documents believed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58325_12"/>
      <w:bookmarkEnd w:id="2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notes under the senior indenture which we will enter into with the trustee named in the senior indenture. We will issue any subordinated notes under the subordinated indenture which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We use the term “trustee” to refer to either the senior trustee or the subordinated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senior notes, the subordinated notes and the indentures is subject to, and is qualified in its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principal amount of debt securities that may be issued thereunder. The debt securities may be issued from time to time in one or more series. We will describe in the applicable prospectus supplement the terms relating to a series of debt securities, which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thereof) at which the debt securities of a series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whole or in part, in global form and, if so, the terms and who the depositary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any original issue discount; 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which may be fixed or variable, or the method for determining the rate,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of a series, including the terms of subordination, if any, of the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the principal of and interest, if any, on the debt securities of a series will be made, and if payments on the debt securities of a series are to be made in one or more currencies or currency units other than that or those in which the debt securities are denominated, the manner in which the exchange rate with respect to the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the date, if any, after which, the conditions upon which, and the price at which we may, at our option, redeem the series of debt securities pursuant to any optional or provisional redemption provisions, and any other applicable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if any, on which and the price or prices at which the debt securities of a series will be repurchased by us at the option of the holders thereof and the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the date, if any, on which, and the price at which we are obligated, pursuant to any mandatory sinking fund or analogous fund provisions or otherwise, to redeem, or at the holder’s option to purchase,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in which the series of debt securities will be denominated;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events of default that are in addition to those described in this prospectus or any covenants, including restrictive covenants, provided with respect to the debt securities, and any terms which may be required by us or advisable under applicable laws or regulations or advisable in connection with the marketing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on which a series of debt securities may be convertible into or exchangeable for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acquiror of such assets must assume all of our obligations under the indentures and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debt securities are convertible into our other securities, the person with whom we consolidate or merge or to whom we sell all of our property must make provisions for the conversion of the debt securities into securities similar to the debt securities which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30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payable and the time for payment has not been extended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solely for the benefit of another series of debt securities, and our failure continues for 90 days after we receive notice from the trustee or holders of at least 25% in aggregate principal amount of the outstanding debt securities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established with respect to a series of debt securities pursuant to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or,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Upon written notice to the trustee, 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of 1939, the trustee may take any other action deemed proper by the trustee which is not inconsistent with such direction by the holders and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to institute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the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Indentures;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omission,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of 1939 or the applicable rules or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any series of debt securities or 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issuance, authorization and delivery of debt securities of any unissued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any series of debt securities as provided in an indenture, to establish the form of any certifications required to be furnished pursuant to an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provisions with respect to matters or questions arising under an indenture, provided that such action shall not adversely affect the interests of holders or any related coupons in any material respect; provided further, that any change to an indenture to conform it to this prospectus or the applicable prospectus supplement shall be deemed not to adversely affect the interests of holders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stated fixed maturity of, or any payment date of any installment of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interest on, or reducing any premium payable upon the redemption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supplemental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elect, with respect to the debt securities of any series 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Such a trust may be established only if, among other things, we have delivered to the trustee an opinion of counsel (who may be counsel to us) to the effect that, based upon applicable U.S. federal income tax law or a ruling published by the U.S. Internal Revenue Service (which opinion must be based on a change in applicable U.S. federal income tax law after the date of the indenture or a ruling published by the U.S. Internal Revenue Service after the date of the indenture),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If so specified with respect to the debt securities of a series, such a trust may be established only if establishment of the trust would not cause the debt securities of any such series listed on any nationally recognized securities exchange to be de-listed as a result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may make payments of principal or interest by check which we will mail to the holder or by wire transfer to certain holders. Unless we otherwise indicate in a prospectus supplement, we will designate an office or agency of the trustee in the City of New York as our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58325_13"/>
      <w:bookmarkEnd w:id="2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warrants that we may offer under this prospectus. While the terms we have summarized below will generally apply to any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We may issue warrants independently of, or together with, shares of our common stock, shares of our preferred stock or debt securities offered by any prospectus supplement, and we may attach the warrants to, or issue them separately from, shares of common stock, shares of preferred stock or debt securities. Each series of warrants will be issued under a separate warrant agreement to be entered into between us and a bank or trust company, as warrant agent, all as set forth in the prospectus supplement relating to the particular issue of offered warrants. The warrant agent will act solely as our agent in connection with the warrant certificates relating to the warrants and will not assume any obligation or relationship of agency or trust with any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 agreements and warrants does not purport to be complete and is subject to, and is qualified in its entirety by reference to, all the provisions of the warrant agreement and the warrant certificates applicable to the particular series of warrants. We urge you to read the applicable prospectus supplements related to the warrants that we sell under this prospectus, as well as the complete warrant agreement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of the warrants,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warrants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warrants and the underlying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we may accelerate the date by which the warrants must be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U.S. dollars only and will be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be able to exchange warrant certificates for new warrant certificates of different denominations, present warrants for registration of transfer, and exercise warrants at the corporate trust office of the warrant agent or any other office indicated in the applicable prospectus supplement. Prior to the exercise of any warrants, holders of the warrants to purchase shares of common stock or preferred stock will not have any rights of holders of shares of common stock or preferred stock, including the right to receive payments of dividends, if any, or to exercise any applicable right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Risk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Any warrants we issue will involve a degree of risk, including risks arising from fluctuations in the price of the underlying shares of common stock, shares of preferred stock or debt securities and general risks applicable to the securities market (or markets) on which the underlying securities trade,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warrants will need to recognize that the warrants may expire worthless and, thus, purchasers should be prepared to sustain a total loss of the purchase price of their warrants. This risk reflects the nature of a warrant as an asset which, other factors held constant, tends to decline in value over time and which may, depending on the price of the underlying securities, become worthless when it expires. The trading price of a warrant at any time is expected to increase if the price of or, if applicable, dividend rate on, the underlying securities increases. Conversely, the trading price of a warrant is expected to decrease as the time remaining to expiration of the warrant decreases and as the price of or, if applicable, dividend rate on, the underlying securities decreases. Assuming all other factors are held constant, the more a warrant is “out-of-the-money” (i.e., the more the exercise price exceeds the price of the underlying securities) and the shorter its remaining term to expiration, the greater the risk that a purchaser of the warrant will lose all or part of his or her investment. If the price of the underlying securities does not rise before the warrant expires to an extent sufficient to cover a purchaser’s cost of the warrant, the purchaser will lose all or part of his or her investment in the warrant upon expiration.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prospective purchasers of the warrants should be experienced with respect to options and option transactions, should understand the risks associated with options and should reach an investment decision only after careful consideration, with their financial advisors, of the suitability of the warrants in light of their particular financial circumstances and the information discussed in this prospectus and, if applicable, the prospectus supplement. Before purchasing, exercising or selling any warrants, prospective purchasers and holders of warrants should carefully consider,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underlying securities at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expiration;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related transaction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referred to above are in turn influenced by various political, economic and other factors that can affect the trading price of the underlying securities and should be carefully considered prior to making any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warrants should further consider that the initial offering price of the warrants may be in excess of the price that a purchaser of options might pay for a comparable option in a private, less liquid transaction. In addition, it is not possible to predict the price at which the warrants will trade in the secondary market or whether any such market will be liquid. We may, but will not be obligated to, file an application to list any warrants on a U.S. national securities exchange. To the extent that any warrants are exercised, the number of warrants outstanding will decrease, which may result in a lessening of the liquidity of the warrants. Finally, the warrants will constitute our direct, unconditional and unsecured obligations, and as such will be subject to any changes in our perceived creditworthiness.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that number or amount of underlying securities, at the exercise price, as will in each case be described in the prospectus supplement relating to the offered warrants. </w:t>
      </w:r>
    </w:p>
    <w:p>
      <w:pPr>
        <w:pStyle w:val="TextBody"/>
        <w:bidi w:val="0"/>
        <w:spacing w:before="240" w:after="0"/>
        <w:jc w:val="left"/>
        <w:rPr>
          <w:rFonts w:ascii="Times New Roman" w:hAnsi="Times New Roman"/>
          <w:sz w:val="20"/>
        </w:rPr>
      </w:pPr>
      <w:r>
        <w:rPr>
          <w:rFonts w:ascii="Times New Roman" w:hAnsi="Times New Roman"/>
          <w:sz w:val="20"/>
        </w:rPr>
        <w:t xml:space="preserve">After the close of business on the Expiration Date (which may be extended by us), unexercised warrants will become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may exercise warrants by delivering to the warrant agent payment as provided in the applicable prospectus supplement of the amount required to purchase the underlying securities purchasable upon exercise, together with the information set forth on the reverse side of the warrant certificate. Warrants will be deemed to have been exercised upon receipt of payment of the exercise price, subject to the receipt within five business days of the warrant certificate evidencing the exercised warrants. Upon receipt of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amend or supplement the warrant agreement without the consent of the holders of the warrants issued under the agreement to effect changes that are not inconsistent with the provisions of the warrants and that do not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58325_14"/>
      <w:bookmarkEnd w:id="23"/>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rights that we may offer under this prospectus. While the terms we have summarized below will generally apply to any rights we may offer under this prospectus, we will describe the particular terms of any rights that we may offer in more detail in the applicable prospectus supplement. The terms of any rights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for the purchase of shares of our common stock, shares of our preferred stock or debt securities. 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 We will file the rights agreement and the rights certificates relating to each series of rights with the SEC, and incorporate them by reference as an exhibit to the registration statement of which this prospectus is a part on or before the time we issue a series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rights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for determining the persons entitled to participate in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rights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commences and the date on which the right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rights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the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Rights will be exercisable for U.S. dollars only and will be in registered form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58325_15"/>
      <w:bookmarkEnd w:id="24"/>
      <w:r>
        <w:rPr>
          <w:rFonts w:ascii="Times New Roman" w:hAnsi="Times New Roman"/>
          <w:b/>
          <w:sz w:val="20"/>
        </w:rPr>
        <w:t xml:space="preserve">DESCRIPTION OF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stock purchase contracts that we may offer under this prospectus. While the terms we have summarized below will generally apply to any stock purchase contracts we may offer under this prospectus, we will describe the particular terms of any stock purchase contracts that we may offer in more detail in the applicable prospectus supplement. The terms of any stock purchase contracts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shares of preferred stock or depositary shares at a future date or dates. Alternatively, the stock purchase contracts may obligate us to purchase from holders, and obligate holders to sell to us, a specified or varying number of shares of common stock, shares of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provide for settlement by delivery by us or on our behalf of shares of the underlying security, or they may provide for settlement by reference or linkage to the value, performance or trading price of the underlying security.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except upon the termination or early settlement of the related stock purchase contracts or in the event other securities, cash or property is made subject to the pledge agreement in lieu of the pledged securities, if permitted by the pledge agreement, or as otherwise provided in the pledge agreement. Subject to such security interest and the terms of the stock purchase contract agreement and the pledge agreement, each holder of a stock purchase contract will retain full beneficial ownership of the related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the applicable prospectus supplement, the collateral agent will, upon receipt of distributions on the pledged securities, distribute such payments to us or the stock purchase contract agent, as provided in the pledge agreement. The purchase agent will in turn distribute payments it receives as provided in the stock purchase contract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58325_16"/>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units that we may offer under this prospectus. While the terms we have summarized below will generally apply to any units we may offer under this prospectus, we will describe the particular terms of any units that we may offer in more detail in the applicable prospectus supplement. The terms of any units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units, each consisting of two or more types of securities. For example, we might issue units consisting of a combination of debt securities and warrants to purchase common stock. If we issue units, the prospectus supplement relating to the units will contain the information described above with regard to each of the securities that is a component of the units. In addition, the prospectus supplement relating to the units will describe the terms of any units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units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have the units traded on a securities exchange or securities quotation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for U.S. federal income tax purposes, the purchase price paid for the units is to be allocated among the component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58325_17"/>
      <w:bookmarkEnd w:id="26"/>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The Macerich Company, and the qualification and taxation of The Macerich Company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considerations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The Macerich Company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to The Macerich Company.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our organization and operations, commencing with the taxable year ended December 31, 2013, our form of organization and operations are such as to enable us to qualify as a REIT.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our stock, debt securities or other instruments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1994.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conditions (5) and (6) do not apply to the first taxable year for which a REIT election is made and, thereafter,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and transferred to a trust for the benefit of a charity and that certain transfers of our stock shall be void ab initio. Excess stock is a class of our capital stock that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 (5) 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 </w:t>
      </w:r>
    </w:p>
    <w:p>
      <w:pPr>
        <w:pStyle w:val="TextBody"/>
        <w:bidi w:val="0"/>
        <w:spacing w:before="24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“taxable REIT subsidiary” of ours is a corporation in which we directly or indirectly own stock and that jointly elects with us to be treated as a taxable REIT subsidiary under Section 856(l)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The Macerich Company’s proportionate share of the assets and items of income of the Operating Partnership, including the Operating Partnership’s share of the assets and liabilities and items of income with respect to any partnership in which it holds an interest, will be treated as The Macerich Company’s assets and liabilities and its items of income for purposes of applying the requirements described in this prospectus. The Macerich Company has control over the Operating Partnership and substantially all of the partnerships and limited liability company subsidiaries of the Operating Partnership and intends to operate them in a manner that is consistent with the requirements for the qualification of The Macerich Company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certain hedging transactions and certain foreign currency gain recognized after July 30, 2008, must be derived from (1) rents from real property, (2) interest on obligations secured by mortgages on real property or on interests in real property, (3) gains from the sale or other disposition of real property (including interests in real property and interests in mortgages on real property) other than property held primarily for sale to customers in the ordinary course of our trade or business, (4) dividends from other qualifying REITs and gain (other than gain from prohibited transactions) from the sale of shares of other qualifying REITs, (5) other specified investments relating to real property or mortgages thereon and (6) for a limited time, temporary investment income. Second, at least 95% of our gross income for each taxable year (excluding gross income from prohibited transactions, certain hedging transactions and certain foreign currency gain recognized after July 30, 2008) must be derived from any combination of income qualifying under the 75% test and dividends, interest and gain from the sale or disposition of stock or securities that are not assets held primarily for sale to customers in the ordinary course of our trade or business. For this purpose, certain income inclusions under Subpart F of the Code, the global intangible low-taxed income regime, and the passive foreign investment company rules constitute qualifying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taxable REIT subsidiary)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attached a schedule of the sources of our income to our federal income tax return, and any incorrect information on the schedule is not due to fraud with intent to evade tax.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The Macerich Company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cash and cash items (including receivables arising in the ordinary course of our business) and government securities. Real estate assets include (1) real property (including interests in real property and interests in mortgages on real property or on interests in real property), (2) shares in other qualifying REITs, (3) debt instruments issued by publicly offered REITs and (4) any property (not otherwise a real estate asset) attributable to the temporary investment of “new capital” in stock or a debt instrument, but only for the one-year period beginning on the date we received the new capital. Property will qualify as being attributable to the temporary investment of new capital if the money used to purchase the stock or debt instrument is received by us in exchange for our stock or in a public offering of debt obligations that have a maturity of at least five years;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asset tests at the end of a later quarter solely by reason of changes in the relative values of our assets (including changes in relative values as a result of fluctuations in foreign currency exchange rates). If the failure to satisfy the asset tests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excess of the net income from foreclosure property over the tax imposed on such income, minus (2) the sum of certain specified items of noncash income. In addition, if we recognize any built-in gain, we will be required, under Treasury regulations, to distribute at least 90% of the built-in gain, after tax, recognized on the disposition of the applicable asset. We also cannot have at the end of any taxable year any undistributed earnings and profits that are attributable to a non-REIT taxable year. See “—Classification and Taxation of The Macerich Company as a REIT” above for a discussion of the possible recognition of built-in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the foregoing distribution requirements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made in the normal course of our business (i) primarily to manage risk of interest rate or price changes or currency fluctuations with respect to borrowings made or to be made, or ordinary obligations incurred or to be incurred by us to acquire or own real estate assets, (ii) primarily to manage the risk of currency fluctuations with respect to any item of income or gain that would be qualifying income under the 75% or 95% income tests (or any property which generates such income or gain), or (iii) that hedges against transactions described in clause (i) or (ii) and is entered into in connection with the extinguishment of debt or sale of property that is being hedged against by the transaction described in clause (i) or (ii), in each case which is clearly identified as such before the close of the day on which it was acquired, originated or entered into (after taking into account certain cure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Allocations with Respect to Contributed Properties.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is generally equal to the difference between the fair market value of contributed property at the time of contribution, and the adjusted tax basis of the property at the time of contribution (a “Book-Tax Difference”). These allocations are solely for U.S. federal income tax purposes and do not affect the book capital accounts or other economic or legal arrangements among the partners. The Operating Partnership was formed principally by way of contributions of appreciated property. Consequently, the partnership agreement of the Operating Partnership requires these allocations to be made in a manner consistent with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limited partners of the Operating Partnership who contributed properties to it will be allocated lower amounts of depreciation deductions for tax purposes and increased taxable income and gain on sale by the Partnerships of the contributed assets. This will tend to eliminate the Book-Tax Difference over the life of the Partnerships. However, the special allocation rules of Section 704(c) of the Code do not always rectify the Book-Tax Difference on an annual basis or with respect to a specific taxable transaction such as a sale. Under the applicable Treasury regulations, special allocations of income and gain and depreciation deductions must be made on a property-by-property basis. Depreciation deductions resulting from the carryover basis of a contributed property are used to eliminate the Book-Tax Difference by allocating these deductions to the non-contributing partners (i.e., the REIT and the other non-contributing partners) up to the amount of their share of book depreciation. Any remaining tax depreciation for the contributed property would be allocated to the partners that contributed the property. The Operating Partnership intends to (but may not always) elect the traditional method of rectifying the Book-Tax Difference under the applicable Treasury regulations, under which, if depreciation deductions are less than the non-contributing partners’ share of book depreciation, then the non-contributing partners lose the benefit of these deductions (the “ceiling rule”). The application of the ceiling rule increases the likelihood we will recognize taxable income in excess of cash proceeds in our capacity as a partner of the Operating Partnership, which might adversely affect our ability to comply with the REIT distribution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of The Macerich Company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nonresident alien individuals or non-U.S.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 entity treated as a partnership for federal income tax purposes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However, for taxable years beginning after December 31, 2017, and subject to certain limitations, non-corporate taxpayers may deduct up to 20% of certain qualified business income, including “qualified REIT dividends.” Qualified REIT dividends eligible for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deduction generally will include dividends paid by us that are not designated as capital gain dividends and that are not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excess portion of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(subject to the Medicare tax discussed below).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 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should not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Furthermore, social clubs, voluntary employee benefit associations, and supplemental unemployment benefit trusts that are exempt from taxation under special provisions of the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and non-U.S. corporations are complex. This section is only a summary of such rules. We urge such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and that we do not designate as a capital gain dividend or retained capital gain will, to the extent that we pay the distribution out of our current or accumulated earnings and profits, be subject to a withholding tax equal to 30% of the gross amount of the dividend unless an applicable tax treaty reduces or eliminates the tax. Under some treaties, lower withholding taxes do not apply, or do not apply as favorably, to dividends from REITs. However, if a distribution is treated as effectively connected with the non-U.S. stockholder’s conduct of a United States trade or business (through a U.S. permanent establishment, if the non-U.S. stockholder is entitled to the benefits of an applicable tax treaty and such tax treaty so requires as a condition for taxation), the non-U.S. stockholder generally will not be subject to the 30% gross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withhold at a 15% rate on a distribution in excess of our current and accumulated earnings and profits. Non-U.S. stockholders may be entitled to a refund of any such withheld amounts in respect of distributions in excess of our current and accumulated earnings and profits and not in excess of such stockholder’s adjusted basis in its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We also may be required to withhold tax at the rate of 21% on the portion of any dividend to a non-U.S. stockholder that is or could be designated by us as a capital gain dividend, even if not attributable to gain on a sale or exchange of an interest in U.S. real property, unless it is paid to a withholding qualified holder (as defined below). In the event any of the foregoing withholding taxes exceeds a non-U.S. shareholder’s tax liability as determined under the Code, a non-U.S. stockholder may obtain a refund of amounts that we withheld.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or ordinary income rates (as applicable)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that we could designate as a capital gain dividend.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 year period ending on the date of distribution. Instead, any capital gain dividend will be treated as an ordinary distribution subject to the rules discussed above, which generally impose a 30% withholding tax (unless reduced by a treaty). Also, the branch profits tax will not apply to such a distribution. Additionally, the withholding rules under FIRPTA will not apply to the extent the distribution is paid to a withholding qualified holder. A “withholding qualified holder” means a qualified holder (as defined below) and a foreign partnership all of the interests of which are held by qualified holders, including through one or more partnerships.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exchange, repurchase, or other disposition of our stock as long as at all times during the five-year period ending on the date of disposition non-U.S. persons hold, directly or indirectly, less than 50% in value of our stock (in which case we will be considered a “domestically controlled REIT”). For these purposes, a person holding less than 5% of our regularly traded classes of stock for five years will be treated as a U.S. person unless we have actual knowledge that such person is not a U.S. person.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attributable to USRPI gain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extent of our non-U.S. ownership, a non-U.S. stockholder will not incur tax under FIRPTA on a disposition of the shares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For as long as our common stock is regularly traded on an established securities market, a non-U.S. stockholder should not incur tax under FIRPTA with respect to gain on a sale of our common stock unless it owns, actually or constructively, more than 10% of our common stock during such testing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gain on the sale of our stock were taxed under FIRPTA, a non-U.S. stockholder would be taxed on that gain in the same manner as U.S. stockholders subject to any applicable alternative minimum tax. Non-U.S. stockholders are urged to consult their own tax advisors as to whether they will be subject to tax under FIRPTA upon a disposition of our stock. Furthermore, a non-U.S. stockholder generally will incur U.S. federal income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and may be subject to the 30% branch profits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(provided that distributions attributable to gain from the sale of a USRPI shall be treated as ordinary distributions subject to the rules described under “—Dividends”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NYSE or Nasdaq, (ii) is a “qualified collective investment vehicle” (within the meaning of Section 897(k) (3)(B)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“—Dividends.” Gain of a qualified foreign pension fund or qualified controlled entity from the sale or exchange of our stock and distributions treated as gain from the sale or exchange of our stock under the rules described above under “—Dividends,”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stockholder who is subject to FATCA to comply with its certification and reporting requirements, or properly document its status as a person not subject to FATCA withholding, could cause us to be required to withhold tax at a rate of 30% on withholdable payments made to the non-U.S. stockholder.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considerations discussed above. Consequently, prospective investors should consult their own tax advisors regarding the effect of state, local and foreign tax laws on an investment in our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considerations relating to the ownership of the fixed rate debt securities that The Macerich Company may offer for general information only. It is not tax advice. Except for the limited discussion of original issue discount below,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tax considerations relating to the ownership of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that is a nonresident alien individual or a non-U.S. corporation.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de minimis amount, the debt security will be treated as having been issued with OID. The amount of OID on a debt security, which is equal to the difference, must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(i) the amount of cash proceeds and the fair market value of any property received on the disposition (except to the extent such amount is attributable to accrued but unpaid stated interest, which is taxable as ordinary income if not previously included in such holder’s income) and (ii) such U.S. Holder’s adjusted tax basis in the debt security.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Holder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tax to your income and gains in respect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U.S. Holder. As a result, a tax-exempt U.S. Holder generally should not be subject to U.S. federal income tax on the interest income accruing on our debt securities. Similarly, any gain recognized by the tax-exempt U.S. Holder in connection with a sale of the debt security generally should not be unrelated business taxable income unless the U.S. Holder holds our debt securities for sale to customers in its ordinary course of business. However, if a tax-exempt U.S. Holder were to finance its acquisition of the debt security with debt, a portion of the interest income and gain attributable to the debt security would constitute unrelated business taxable income pursuant to the “debt-financed property” rules. Tax-exempt U.S.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and Original Issue Discount.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(i) a direct or indirect 10% or greater stockholder of The Macerich Company, (ii) a controlled foreign corporation related to The Macerich Company, as applicable, or (iii)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(i) is signed under penalties of perjury by the beneficial owner of the debt security, (ii) certifies that such owner is not a U.S. Holder and (iii)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(or an entity treated as a corporation for U.S. federal income tax purposes)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to accrued but unpaid stated interest, which would be taxable as described above) will be exempt from U.S. federal income and withholding taxes so long as: (i) the gain is not effectively connected with the conduct of a trade or business in the United States by the Non-U.S. Holder, (ii) in the case of a nonresident alien individual, the Non-U.S. Holder is not present in the United States for 183 days or more in the taxable year, and (iii)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 on “withholdable payments” made to FFIs and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58325_18"/>
      <w:bookmarkEnd w:id="27"/>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that are incorporated into this prospectus by reference. </w:t>
      </w:r>
    </w:p>
    <w:p>
      <w:pPr>
        <w:pStyle w:val="TextBody"/>
        <w:bidi w:val="0"/>
        <w:spacing w:before="480" w:after="0"/>
        <w:jc w:val="center"/>
        <w:rPr>
          <w:rFonts w:ascii="Times New Roman" w:hAnsi="Times New Roman"/>
          <w:b/>
          <w:sz w:val="20"/>
        </w:rPr>
      </w:pPr>
      <w:bookmarkStart w:id="28" w:name="tx158325_19"/>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under this prospectus in one or more transactions from time to time,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may sell some or all of the securities offered by this prospectus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dealer will attempt to sell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or call options, forward or other derivative transactions relating to the shares of common stock or other securities being registered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 solicits purchases;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privately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applicable, we, and our respective underwriters, dealers or agents, reserve the right to accept or reject all or part of any proposed purchase of the securities. We will set forth in a prospectus supplement the terms and offering of securities by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concessions or commissions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options, if any, under which underwriters may purchase additional securities from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the proceeds we will receive from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on which such securities may be listed,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from time to time. If the applicable prospectus supplement indicates, in connection with those derivative transactions,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securities, and may use securities received from us in settlement of those derivative transactions to close out any related open borrowings of securities. If the third parties (or affiliates of such third parties) in such sale transactions by us are or may be deemed to be underwriters under the Securities Act, we will identify them in an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or preferred stock may be issued upon conversion of our debt securities or in exchange for our debt securities. Our common stock may also be issued upon conversion of our preferred stock. Additionally, securities may be issued upon exercise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simultaneous offering of other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i/>
          <w:sz w:val="20"/>
        </w:rPr>
        <w:t>Underwriters, Agents and Dealers.</w:t>
      </w:r>
      <w:r>
        <w:rPr>
          <w:rFonts w:ascii="Times New Roman" w:hAnsi="Times New Roman"/>
          <w:sz w:val="20"/>
        </w:rPr>
        <w:t xml:space="preserve"> Any underwritten offering may be on a best efforts or a firm commitment basis. The securities may be offered to the public either through underwriting syndicates represented by managing underwriters or directly by underwriters. We may use underwriters with which we have a material relationship and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When we sell securities through agents, the prospectus supplement will name any agent involved in the offer or sale of securities and any commissions we pay to them. Generally, any agent will be acting on a best 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our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and the underwriters, dealers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may grant underwriters who participate in the distribution of our securities an option to purchase additional securities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may receive compensation in the form of discounts, concessions or commissions from us or our purchasers, as their agents in connection with the sale of our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for any securities offered by us will identify any such underwriter, dealer or agent and describe any compensation received by them from us. Any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who may become involved in the sale of our securities may engage in transactions with and perform other services for us for which they receive compensation. </w:t>
      </w:r>
    </w:p>
    <w:p>
      <w:pPr>
        <w:pStyle w:val="TextBody"/>
        <w:bidi w:val="0"/>
        <w:spacing w:before="240" w:after="0"/>
        <w:jc w:val="left"/>
        <w:rPr>
          <w:rFonts w:ascii="Times New Roman" w:hAnsi="Times New Roman"/>
          <w:sz w:val="20"/>
        </w:rPr>
      </w:pPr>
      <w:r>
        <w:rPr>
          <w:rFonts w:ascii="Times New Roman" w:hAnsi="Times New Roman"/>
          <w:i/>
          <w:sz w:val="20"/>
        </w:rPr>
        <w:t>Stabilization Activities.</w:t>
      </w:r>
      <w:r>
        <w:rPr>
          <w:rFonts w:ascii="Times New Roman" w:hAnsi="Times New Roman"/>
          <w:sz w:val="20"/>
        </w:rPr>
        <w:t xml:space="preserve"> 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purchases to cover positions created by short sales and stabilizing transactions. Short sales involve the sale by the underwriters of a greater number of securities than they are required to purchase in the offering, which creates a short position. “Covered” short sales are sales made in an amount not greater than the underwriters’ option to purchase additional securities from us in the offering, if any. In determining the source of shares to close out the underwriters’ covered short position, the underwriters may consider, among other things, the price of securities available for purchase in the open market as compared to the price at which they may purchase securities through the over-allotment option. Transactions to close out the underwriters’ covered short position involve either purchases of the common stock in the open market after the distribution has been completed or the exercise of the underwriters’ over-allotment option. “Naked” short sales, which may be prohibited or restricted by applicable rules and regulations, are any sales in excess of the over-allotment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member of the underwriting syndicate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240" w:after="0"/>
        <w:jc w:val="left"/>
        <w:rPr>
          <w:rFonts w:ascii="Times New Roman" w:hAnsi="Times New Roman"/>
          <w:sz w:val="20"/>
        </w:rPr>
      </w:pPr>
      <w:r>
        <w:rPr>
          <w:rFonts w:ascii="Times New Roman" w:hAnsi="Times New Roman"/>
          <w:i/>
          <w:sz w:val="20"/>
        </w:rPr>
        <w:t>Direct Sales.</w:t>
      </w:r>
      <w:r>
        <w:rPr>
          <w:rFonts w:ascii="Times New Roman" w:hAnsi="Times New Roman"/>
          <w:sz w:val="20"/>
        </w:rPr>
        <w:t xml:space="preserve"> We may also sell securities directly to one or more purchasers without using underwriters or agents. In this case, no agents, underwriters or dealers would be involved. We may sell securities upon the exercise of rights that we may issue to our securityholders. We may also sell securities directly to institutional investors or others who may be deemed to be underwriters within the meaning of the Securities Act with respect to any sale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Trading Market and Listing of Securities.</w:t>
      </w:r>
      <w:r>
        <w:rPr>
          <w:rFonts w:ascii="Times New Roman" w:hAnsi="Times New Roman"/>
          <w:sz w:val="20"/>
        </w:rPr>
        <w:t xml:space="preserve"> Any common stock sold pursuant to a prospectus supplement will be listed on the NYSE, subject to official notice of issuance. The securities other than common stock may or may not be listed on a national securities exchange.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by Selling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not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engage brokers and dealers, and any brokers or dealers may arrange for other brokers or dealers to participate in effecting sales of the securities. These brokers, dealers or underwriters may act as principals, or as an agent of a selling securityholder. Broker-dealers may agree with a selling securityholder to sell a specified number of the securities at a stipulated price per share. If the broker-dealer is unable to sell securities acting as agent for a selling securityholder, it may purchase as principal any unsold securities at the stipulated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 In addition, a selling securityholder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hedging transactions with broker-dealers and the broker-dealers may engage in short sales of the securities in the course of hedging the positions they assume with that selling securityholder, including, without limitation, in connection with distributions of the securities by those broker-dealers. 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securityholders will sell all or any portion of the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supply the selling securityholders and any stock exchange upon which the securities are listed with reasonable quantities of copies of this prospectus. To the extent required by Rule 424 under the Securities Act in connection with any resale or redistribution by a selling securityholder,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58325_20"/>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will be passed upon for us by Goodwin Procter LLP, Boston, Massachusetts and by Venable LLP, Baltimore, Maryland, with respect to matters of Maryland law. </w:t>
      </w:r>
    </w:p>
    <w:p>
      <w:pPr>
        <w:pStyle w:val="TextBody"/>
        <w:bidi w:val="0"/>
        <w:spacing w:before="480" w:after="0"/>
        <w:jc w:val="center"/>
        <w:rPr>
          <w:rFonts w:ascii="Times New Roman" w:hAnsi="Times New Roman"/>
          <w:b/>
          <w:sz w:val="20"/>
        </w:rPr>
      </w:pPr>
      <w:bookmarkStart w:id="30" w:name="tx158325_21"/>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and the related financial statement schedule III—Real Estate and Accumulated Depreciation as of December 31, 2025 and 2024 and for each of the years in the three year period ended December 31, 2025, and management’s assessment of the effectiveness of the Company’s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32"/>
        </w:rPr>
      </w:pPr>
      <w:r>
        <w:rPr>
          <w:rFonts w:ascii="Times New Roman" w:hAnsi="Times New Roman"/>
          <w:b/>
          <w:sz w:val="32"/>
        </w:rPr>
        <w:t xml:space="preserve">$500,000,000 </w:t>
      </w:r>
    </w:p>
    <w:p>
      <w:pPr>
        <w:pStyle w:val="TextBody"/>
        <w:bidi w:val="0"/>
        <w:spacing w:before="1000" w:after="0"/>
        <w:jc w:val="center"/>
        <w:rPr>
          <w:rFonts w:ascii="Times New Roman" w:hAnsi="Times New Roman"/>
          <w:b/>
          <w:sz w:val="28"/>
        </w:rPr>
      </w:pPr>
      <w:r>
        <w:rPr>
          <w:rFonts w:ascii="Times New Roman" w:hAnsi="Times New Roman"/>
          <w:b/>
          <w:sz w:val="28"/>
        </w:rPr>
        <w:t xml:space="preserve">The Macerich Company </w:t>
      </w:r>
    </w:p>
    <w:p>
      <w:pPr>
        <w:pStyle w:val="TextBody"/>
        <w:bidi w:val="0"/>
        <w:spacing w:before="10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364807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3648075" cy="771525"/>
                    </a:xfrm>
                    <a:prstGeom prst="rect">
                      <a:avLst/>
                    </a:prstGeom>
                  </pic:spPr>
                </pic:pic>
              </a:graphicData>
            </a:graphic>
          </wp:inline>
        </w:drawing>
      </w:r>
      <w:r>
        <w:rPr/>
        <w:t xml:space="preserve"> </w:t>
      </w:r>
    </w:p>
    <w:p>
      <w:pPr>
        <w:pStyle w:val="TextBody"/>
        <w:bidi w:val="0"/>
        <w:spacing w:before="2000" w:after="0"/>
        <w:jc w:val="center"/>
        <w:rPr>
          <w:rFonts w:ascii="Times New Roman" w:hAnsi="Times New Roman"/>
          <w:b/>
          <w:sz w:val="28"/>
        </w:rPr>
      </w:pPr>
      <w:r>
        <w:rPr>
          <w:rFonts w:ascii="Times New Roman" w:hAnsi="Times New Roman"/>
          <w:b/>
          <w:sz w:val="28"/>
        </w:rPr>
        <w:t xml:space="preserve">August 5, 2026 </w:t>
      </w:r>
    </w:p>
    <w:p>
      <w:pPr>
        <w:pStyle w:val="TextBody"/>
        <w:bidi w:val="0"/>
        <w:spacing w:before="210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0" w:after="0"/>
        <w:jc w:val="center"/>
        <w:rPr>
          <w:rFonts w:ascii="Times New Roman" w:hAnsi="Times New Roman"/>
          <w:b/>
          <w:sz w:val="32"/>
        </w:rPr>
      </w:pPr>
      <w:r>
        <w:rPr>
          <w:rFonts w:ascii="Times New Roman" w:hAnsi="Times New Roman"/>
          <w:b/>
          <w:sz w:val="32"/>
        </w:rPr>
        <w:t xml:space="preserve">Deutsche Bank Securities </w:t>
      </w:r>
    </w:p>
    <w:p>
      <w:pPr>
        <w:pStyle w:val="TextBody"/>
        <w:bidi w:val="0"/>
        <w:spacing w:before="0" w:after="0"/>
        <w:jc w:val="center"/>
        <w:rPr>
          <w:rFonts w:ascii="Times New Roman" w:hAnsi="Times New Roman"/>
          <w:b/>
          <w:sz w:val="32"/>
        </w:rPr>
      </w:pPr>
      <w:r>
        <w:rPr>
          <w:rFonts w:ascii="Times New Roman" w:hAnsi="Times New Roman"/>
          <w:b/>
          <w:sz w:val="32"/>
        </w:rPr>
        <w:t xml:space="preserve">BMO Capital Markets </w:t>
      </w:r>
    </w:p>
    <w:p>
      <w:pPr>
        <w:pStyle w:val="TextBody"/>
        <w:bidi w:val="0"/>
        <w:spacing w:before="0" w:after="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0" w:after="0"/>
        <w:jc w:val="center"/>
        <w:rPr>
          <w:rFonts w:ascii="Times New Roman" w:hAnsi="Times New Roman"/>
          <w:b/>
          <w:sz w:val="32"/>
        </w:rPr>
      </w:pPr>
      <w:r>
        <w:rPr>
          <w:rFonts w:ascii="Times New Roman" w:hAnsi="Times New Roman"/>
          <w:b/>
          <w:sz w:val="32"/>
        </w:rPr>
        <w:t xml:space="preserve">Scotiabank </w:t>
      </w:r>
    </w:p>
    <w:p>
      <w:pPr>
        <w:pStyle w:val="TextBody"/>
        <w:bidi w:val="0"/>
        <w:spacing w:before="0" w:after="0"/>
        <w:jc w:val="center"/>
        <w:rPr>
          <w:rFonts w:ascii="Times New Roman" w:hAnsi="Times New Roman"/>
          <w:b/>
          <w:sz w:val="32"/>
        </w:rPr>
      </w:pPr>
      <w:r>
        <w:rPr>
          <w:rFonts w:ascii="Times New Roman" w:hAnsi="Times New Roman"/>
          <w:b/>
          <w:sz w:val="32"/>
        </w:rPr>
        <w:t xml:space="preserve">TD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158343dexfilingfees.htm"/>
      <w:bookmarkStart w:id="32" w:name="ksd158343dexfilingfees"/>
      <w:bookmarkStart w:id="33" w:name="d158343dexfilingfees.htm"/>
      <w:bookmarkStart w:id="34" w:name="ksd158343dexfilingfees"/>
      <w:bookmarkEnd w:id="33"/>
      <w:bookmarkEnd w:id="34"/>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MACERICH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$ 288,499,793.00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$ 39,841.82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$ 288,499,793.00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$ 39,841.82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$ 39,841.82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6"/>
        <w:gridCol w:w="8706"/>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The registration fee is calculated in accordance with Rule 457(o) under the Securities Act of 1933, as amended (the "Securities Act"), based on the proposed maximum aggregate offering price. Payment of the registration fee for these securities at the time of filing of the Company's registration statement on Form S-3, filed with the Securities and Exchange Commission, on August 5, 2026 (File No. 333-297985) (the "Registration Statement"), was deferred pursuant to Rules 456(b) and 457(r) under the Securities Act. This "Calculation of Filing Fee" table shall be deemed to update the "Calculation of Filing Fee" table filed as Exhibit 107 to the Registration Statement in accordance with Rules 456(b) and 457(r) under the Securities Act.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0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18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The Macerich Company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333-273707 </w:t>
            </w:r>
          </w:p>
        </w:tc>
        <w:tc>
          <w:tcPr>
            <w:tcW w:w="706" w:type="dxa"/>
            <w:tcBorders/>
            <w:shd w:fill="E7E7E2" w:val="clear"/>
            <w:vAlign w:val="center"/>
          </w:tcPr>
          <w:p>
            <w:pPr>
              <w:pStyle w:val="TableContents"/>
              <w:bidi w:val="0"/>
              <w:spacing w:before="0" w:after="283"/>
              <w:jc w:val="left"/>
              <w:rPr/>
            </w:pPr>
            <w:r>
              <w:rPr/>
              <w:t xml:space="preserve">11/12/2024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$ 39,841.82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par value $0.01 per share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$ 288,499,793.00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pPr>
            <w:r>
              <w:rPr/>
              <w:t xml:space="preserve">2 </w:t>
            </w:r>
          </w:p>
        </w:tc>
        <w:tc>
          <w:tcPr>
            <w:tcW w:w="1171" w:type="dxa"/>
            <w:tcBorders/>
            <w:shd w:fill="E7E7E2" w:val="clear"/>
            <w:vAlign w:val="center"/>
          </w:tcPr>
          <w:p>
            <w:pPr>
              <w:pStyle w:val="TableContents"/>
              <w:bidi w:val="0"/>
              <w:spacing w:before="0" w:after="283"/>
              <w:jc w:val="left"/>
              <w:rPr/>
            </w:pPr>
            <w:r>
              <w:rPr/>
              <w:t xml:space="preserve">The Macerich Company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333-273707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11/12/2024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$ 44,169.32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 Company previously registered the offering of shares of its common stock having an aggregate offering price of $500,000,000 in connection with the Company's at-the-market offering program by means of a 424(b)(5) prospectus supplement, dated November 12, 2024 (the "Prior ATM Prospectus Supplement"), filed pursuant to a registration statement on Form S-3 (Registration No. 333-273707) filed with the Securities and Exchange Commission on August 4, 2023 (the "2023 Registration Statement"). In connection with the filing of the Prior ATM Prospectus Supplement, the Company made a contemporaneous fee payment in the amount of $76,550. Shares having an aggregate offering price of $211,500,207 were sold under the Prior ATM Prospectus Supplement and shares having an aggregate offering price of $288,499,793 remain unsold. The 2023 Registration Statement expired on August 4, 2026 and the Company has terminated the offering that included the unsold shares of common stock under the Prior ATM Prospectus Supplement. Pursuant to Rule 457(p) under the Securities Act, the registration fee of $44,169.32 that has already been paid and remains unused with respect to the securities that were previously registered pursuant to the Prior ATM Prospectus Supplement and were not sold thereunder may be applied to offset the filing fees payable pursuant to the prospectus supplement to which this Exhibit 107 relates (the "Current ATM Prospectus Supplement"). Of such amount, $39,841.82 is being applied to offset the entire filing fee in connection with the offering pursuant to the Current ATM Prospectus Supplement and, accordingly, no filing fee is being paid in connection with this offering. Following such offset, $4,327.50 of the filing fee previously paid and associated with such unsold securities remains unused and available for application as a fee offset in the future in accordance with Rule 457(p).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666" w:type="dxa"/>
        <w:jc w:val="left"/>
        <w:tblInd w:w="0" w:type="dxa"/>
        <w:tblLayout w:type="fixed"/>
        <w:tblCellMar>
          <w:top w:w="28" w:type="dxa"/>
          <w:left w:w="28" w:type="dxa"/>
          <w:bottom w:w="28" w:type="dxa"/>
          <w:right w:w="28" w:type="dxa"/>
        </w:tblCellMar>
      </w:tblPr>
      <w:tblGrid>
        <w:gridCol w:w="256"/>
        <w:gridCol w:w="182"/>
        <w:gridCol w:w="1228"/>
      </w:tblGrid>
      <w:tr>
        <w:trPr/>
        <w:tc>
          <w:tcPr>
            <w:tcW w:w="25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410" w:type="dxa"/>
            <w:gridSpan w:val="2"/>
            <w:tcBorders/>
            <w:vAlign w:val="center"/>
          </w:tcPr>
          <w:p>
            <w:pPr>
              <w:pStyle w:val="TableContents"/>
              <w:bidi w:val="0"/>
              <w:spacing w:before="0" w:after="283"/>
              <w:jc w:val="left"/>
              <w:rPr/>
            </w:pPr>
            <w:r>
              <w:rPr/>
              <w:t xml:space="preserve">See note (1). </w:t>
            </w:r>
          </w:p>
        </w:tc>
      </w:tr>
      <w:tr>
        <w:trPr/>
        <w:tc>
          <w:tcPr>
            <w:tcW w:w="438" w:type="dxa"/>
            <w:gridSpan w:val="2"/>
            <w:tcBorders/>
            <w:vAlign w:val="center"/>
          </w:tcPr>
          <w:p>
            <w:pPr>
              <w:pStyle w:val="HorizontalLine"/>
              <w:pBdr>
                <w:bottom w:val="double" w:sz="2" w:space="0" w:color="808080"/>
              </w:pBdr>
              <w:bidi w:val="0"/>
              <w:spacing w:before="0" w:after="283"/>
              <w:jc w:val="left"/>
              <w:rPr/>
            </w:pPr>
            <w:r>
              <w:rPr/>
            </w:r>
          </w:p>
        </w:tc>
        <w:tc>
          <w:tcPr>
            <w:tcW w:w="1228"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$288,499,793.00.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912242/000091224226000016/mac-20251231.htm" TargetMode="External"/><Relationship Id="rId4" Type="http://schemas.openxmlformats.org/officeDocument/2006/relationships/hyperlink" Target="http://www.sec.gov/Archives/edgar/data/../../../ix?doc=/Archives/edgar/data/0000912242/000119312526170447/d61679ddef14a.htm" TargetMode="External"/><Relationship Id="rId5" Type="http://schemas.openxmlformats.org/officeDocument/2006/relationships/hyperlink" Target="http://www.sec.gov/Archives/edgar/data/../../../ix?doc=/Archives/edgar/data/0000912242/000091224226000024/mac-20260331.htm" TargetMode="External"/><Relationship Id="rId6" Type="http://schemas.openxmlformats.org/officeDocument/2006/relationships/hyperlink" Target="http://www.sec.gov/Archives/edgar/data/../../../ix?doc=/Archives/edgar/data/912242/000091224226000037/mac-20260630.htm" TargetMode="External"/><Relationship Id="rId7" Type="http://schemas.openxmlformats.org/officeDocument/2006/relationships/hyperlink" Target="http://www.sec.gov/Archives/edgar/data/../../../ix?doc=/Archives/edgar/data/0000912242/000119312526077466/d112967d8k.htm" TargetMode="External"/><Relationship Id="rId8" Type="http://schemas.openxmlformats.org/officeDocument/2006/relationships/hyperlink" Target="http://www.sec.gov/Archives/edgar/data/../../../ix?doc=/Archives/edgar/data/0000912242/000119312526221714/d32273d8k.htm" TargetMode="External"/><Relationship Id="rId9" Type="http://schemas.openxmlformats.org/officeDocument/2006/relationships/hyperlink" Target="http://www.sec.gov/Archives/edgar/data/../../../ix?doc=/Archives/edgar/data/0000912242/000119312526255466/d56685d8k.htm" TargetMode="External"/><Relationship Id="rId10" Type="http://schemas.openxmlformats.org/officeDocument/2006/relationships/hyperlink" Target="http://www.sec.gov/Archives/edgar/data/../../../ix?doc=/Archives/edgar/data/0000912242/000119312526274188/d130391d8k.htm" TargetMode="External"/><Relationship Id="rId11" Type="http://schemas.openxmlformats.org/officeDocument/2006/relationships/hyperlink" Target="http://www.sec.gov/Archives/edgar/data/../../../ix?doc=/Archives/edgar/data/0000912242/000119312526286956/d140674d8k.htm" TargetMode="External"/><Relationship Id="rId12" Type="http://schemas.openxmlformats.org/officeDocument/2006/relationships/hyperlink" Target="http://www.sec.gov/Archives/edgar/data/912242/000091224224000026/mac-20231231x10kex41.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0000912242/000091224226000016/mac-20251231.htm" TargetMode="External"/><Relationship Id="rId15" Type="http://schemas.openxmlformats.org/officeDocument/2006/relationships/hyperlink" Target="http://www.sec.gov/Archives/edgar/data/../../../ix?doc=/Archives/edgar/data/0000912242/000119312526170447/d61679ddef14a.htm" TargetMode="External"/><Relationship Id="rId16" Type="http://schemas.openxmlformats.org/officeDocument/2006/relationships/hyperlink" Target="http://www.sec.gov/Archives/edgar/data/../../../ix?doc=/Archives/edgar/data/0000912242/000091224226000024/mac-20260331.htm" TargetMode="External"/><Relationship Id="rId17" Type="http://schemas.openxmlformats.org/officeDocument/2006/relationships/hyperlink" Target="http://www.sec.gov/Archives/edgar/data/../../../ix?doc=/Archives/edgar/data/912242/000091224226000037/mac-20260630.htm" TargetMode="External"/><Relationship Id="rId18" Type="http://schemas.openxmlformats.org/officeDocument/2006/relationships/hyperlink" Target="http://www.sec.gov/Archives/edgar/data/../../../ix?doc=/Archives/edgar/data/0000912242/000119312526077466/d112967d8k.htm" TargetMode="External"/><Relationship Id="rId19" Type="http://schemas.openxmlformats.org/officeDocument/2006/relationships/hyperlink" Target="http://www.sec.gov/Archives/edgar/data/../../../ix?doc=/Archives/edgar/data/0000912242/000119312526221714/d32273d8k.htm" TargetMode="External"/><Relationship Id="rId20" Type="http://schemas.openxmlformats.org/officeDocument/2006/relationships/hyperlink" Target="http://www.sec.gov/Archives/edgar/data/../../../ix?doc=/Archives/edgar/data/0000912242/000119312526255466/d56685d8k.htm" TargetMode="External"/><Relationship Id="rId21" Type="http://schemas.openxmlformats.org/officeDocument/2006/relationships/hyperlink" Target="http://www.sec.gov/Archives/edgar/data/../../../ix?doc=/Archives/edgar/data/0000912242/000119312526274188/d130391d8k.htm" TargetMode="External"/><Relationship Id="rId22" Type="http://schemas.openxmlformats.org/officeDocument/2006/relationships/hyperlink" Target="http://www.sec.gov/Archives/edgar/data/../../../ix?doc=/Archives/edgar/data/0000912242/000119312526286956/d140674d8k.htm" TargetMode="External"/><Relationship Id="rId23" Type="http://schemas.openxmlformats.org/officeDocument/2006/relationships/hyperlink" Target="http://www.sec.gov/Archives/edgar/data/912242/000091224224000026/mac-20231231x10kex41.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94</Pages>
  <Words>46050</Words>
  <Characters>238428</Characters>
  <CharactersWithSpaces>285128</CharactersWithSpaces>
  <Paragraphs>2468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