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58325ds3asr.htm"/>
      <w:bookmarkStart w:id="1" w:name="ksd158325ds3asr"/>
      <w:bookmarkEnd w:id="0"/>
      <w:bookmarkEnd w:id="1"/>
      <w:r>
        <w:rPr>
          <w:rFonts w:ascii="Times New Roman" w:hAnsi="Times New Roman"/>
          <w:b/>
          <w:sz w:val="20"/>
        </w:rPr>
        <w:t xml:space="preserve">As filed with the Securities and Exchange Commission on August 5,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center"/>
        <w:rPr>
          <w:rFonts w:ascii="Times New Roman" w:hAnsi="Times New Roman"/>
          <w:b/>
          <w:sz w:val="36"/>
        </w:rPr>
      </w:pPr>
      <w:r>
        <w:rPr>
          <w:rFonts w:ascii="Times New Roman" w:hAnsi="Times New Roman"/>
          <w:b/>
          <w:sz w:val="36"/>
        </w:rPr>
        <w:t xml:space="preserve">FORM S-3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THE MACERICH COMPANY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Maryland</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99-4448705</w:t>
            </w:r>
          </w:p>
        </w:tc>
      </w:tr>
      <w:tr>
        <w:trPr/>
        <w:tc>
          <w:tcPr>
            <w:tcW w:w="5154"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w:t>
              <w:br/>
              <w:t>Identification Number)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401 Wilshire Boulevard, Suite 700 </w:t>
      </w:r>
    </w:p>
    <w:p>
      <w:pPr>
        <w:pStyle w:val="TextBody"/>
        <w:bidi w:val="0"/>
        <w:spacing w:before="0" w:after="0"/>
        <w:jc w:val="center"/>
        <w:rPr>
          <w:rFonts w:ascii="Times New Roman" w:hAnsi="Times New Roman"/>
          <w:b/>
          <w:sz w:val="20"/>
        </w:rPr>
      </w:pPr>
      <w:r>
        <w:rPr>
          <w:rFonts w:ascii="Times New Roman" w:hAnsi="Times New Roman"/>
          <w:b/>
          <w:sz w:val="20"/>
        </w:rPr>
        <w:t xml:space="preserve">Santa Monica, California 90401 </w:t>
      </w:r>
    </w:p>
    <w:p>
      <w:pPr>
        <w:pStyle w:val="TextBody"/>
        <w:bidi w:val="0"/>
        <w:spacing w:before="0" w:after="0"/>
        <w:jc w:val="center"/>
        <w:rPr>
          <w:rFonts w:ascii="Times New Roman" w:hAnsi="Times New Roman"/>
          <w:b/>
          <w:sz w:val="20"/>
        </w:rPr>
      </w:pPr>
      <w:r>
        <w:rPr>
          <w:rFonts w:ascii="Times New Roman" w:hAnsi="Times New Roman"/>
          <w:b/>
          <w:sz w:val="20"/>
        </w:rPr>
        <w:t xml:space="preserve">(310) 394-6000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Ann C. Menard </w:t>
      </w:r>
    </w:p>
    <w:p>
      <w:pPr>
        <w:pStyle w:val="TextBody"/>
        <w:bidi w:val="0"/>
        <w:spacing w:before="0" w:after="0"/>
        <w:jc w:val="center"/>
        <w:rPr>
          <w:rFonts w:ascii="Times New Roman" w:hAnsi="Times New Roman"/>
          <w:b/>
          <w:sz w:val="20"/>
        </w:rPr>
      </w:pPr>
      <w:r>
        <w:rPr>
          <w:rFonts w:ascii="Times New Roman" w:hAnsi="Times New Roman"/>
          <w:b/>
          <w:sz w:val="20"/>
        </w:rPr>
        <w:t xml:space="preserve">Senior Executive Vice President, Chief Legal and Administrative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The Macerich Company </w:t>
      </w:r>
    </w:p>
    <w:p>
      <w:pPr>
        <w:pStyle w:val="TextBody"/>
        <w:bidi w:val="0"/>
        <w:spacing w:before="0" w:after="0"/>
        <w:jc w:val="center"/>
        <w:rPr>
          <w:rFonts w:ascii="Times New Roman" w:hAnsi="Times New Roman"/>
          <w:b/>
          <w:sz w:val="20"/>
        </w:rPr>
      </w:pPr>
      <w:r>
        <w:rPr>
          <w:rFonts w:ascii="Times New Roman" w:hAnsi="Times New Roman"/>
          <w:b/>
          <w:sz w:val="20"/>
        </w:rPr>
        <w:t xml:space="preserve">401 Wilshire Boulevard, Suite 700 </w:t>
      </w:r>
    </w:p>
    <w:p>
      <w:pPr>
        <w:pStyle w:val="TextBody"/>
        <w:bidi w:val="0"/>
        <w:spacing w:before="0" w:after="0"/>
        <w:jc w:val="center"/>
        <w:rPr>
          <w:rFonts w:ascii="Times New Roman" w:hAnsi="Times New Roman"/>
          <w:b/>
          <w:sz w:val="20"/>
        </w:rPr>
      </w:pPr>
      <w:r>
        <w:rPr>
          <w:rFonts w:ascii="Times New Roman" w:hAnsi="Times New Roman"/>
          <w:b/>
          <w:sz w:val="20"/>
        </w:rPr>
        <w:t xml:space="preserve">Santa Monica, California 90401 </w:t>
      </w:r>
    </w:p>
    <w:p>
      <w:pPr>
        <w:pStyle w:val="TextBody"/>
        <w:bidi w:val="0"/>
        <w:spacing w:before="0" w:after="0"/>
        <w:jc w:val="center"/>
        <w:rPr>
          <w:rFonts w:ascii="Times New Roman" w:hAnsi="Times New Roman"/>
          <w:b/>
          <w:sz w:val="20"/>
        </w:rPr>
      </w:pPr>
      <w:r>
        <w:rPr>
          <w:rFonts w:ascii="Times New Roman" w:hAnsi="Times New Roman"/>
          <w:b/>
          <w:sz w:val="20"/>
        </w:rPr>
        <w:t xml:space="preserve">(310) 394-6000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COPY TO: </w:t>
      </w:r>
    </w:p>
    <w:p>
      <w:pPr>
        <w:pStyle w:val="TextBody"/>
        <w:bidi w:val="0"/>
        <w:spacing w:before="240" w:after="0"/>
        <w:jc w:val="center"/>
        <w:rPr>
          <w:rFonts w:ascii="Times New Roman" w:hAnsi="Times New Roman"/>
          <w:b/>
          <w:sz w:val="20"/>
        </w:rPr>
      </w:pPr>
      <w:r>
        <w:rPr>
          <w:rFonts w:ascii="Times New Roman" w:hAnsi="Times New Roman"/>
          <w:b/>
          <w:sz w:val="20"/>
        </w:rPr>
        <w:t xml:space="preserve">Ettore A. Santucci, Esq. </w:t>
      </w:r>
    </w:p>
    <w:p>
      <w:pPr>
        <w:pStyle w:val="TextBody"/>
        <w:bidi w:val="0"/>
        <w:spacing w:before="0" w:after="0"/>
        <w:jc w:val="center"/>
        <w:rPr>
          <w:rFonts w:ascii="Times New Roman" w:hAnsi="Times New Roman"/>
          <w:b/>
          <w:sz w:val="20"/>
        </w:rPr>
      </w:pPr>
      <w:r>
        <w:rPr>
          <w:rFonts w:ascii="Times New Roman" w:hAnsi="Times New Roman"/>
          <w:b/>
          <w:sz w:val="20"/>
        </w:rPr>
        <w:t xml:space="preserve">David H. Roberts, Esq. </w:t>
      </w:r>
    </w:p>
    <w:p>
      <w:pPr>
        <w:pStyle w:val="TextBody"/>
        <w:bidi w:val="0"/>
        <w:spacing w:before="0" w:after="0"/>
        <w:jc w:val="center"/>
        <w:rPr>
          <w:rFonts w:ascii="Times New Roman" w:hAnsi="Times New Roman"/>
          <w:b/>
          <w:sz w:val="20"/>
        </w:rPr>
      </w:pPr>
      <w:r>
        <w:rPr>
          <w:rFonts w:ascii="Times New Roman" w:hAnsi="Times New Roman"/>
          <w:b/>
          <w:sz w:val="20"/>
        </w:rPr>
        <w:t xml:space="preserve">Caitlin R. Tompkins, Esq. </w:t>
      </w:r>
    </w:p>
    <w:p>
      <w:pPr>
        <w:pStyle w:val="TextBody"/>
        <w:bidi w:val="0"/>
        <w:spacing w:before="0" w:after="0"/>
        <w:jc w:val="center"/>
        <w:rPr>
          <w:rFonts w:ascii="Times New Roman" w:hAnsi="Times New Roman"/>
          <w:b/>
          <w:sz w:val="20"/>
        </w:rPr>
      </w:pPr>
      <w:r>
        <w:rPr>
          <w:rFonts w:ascii="Times New Roman" w:hAnsi="Times New Roman"/>
          <w:b/>
          <w:sz w:val="20"/>
        </w:rPr>
        <w:t xml:space="preserve">Goodwin Procter LLP </w:t>
      </w:r>
    </w:p>
    <w:p>
      <w:pPr>
        <w:pStyle w:val="TextBody"/>
        <w:bidi w:val="0"/>
        <w:spacing w:before="0" w:after="0"/>
        <w:jc w:val="center"/>
        <w:rPr>
          <w:rFonts w:ascii="Times New Roman" w:hAnsi="Times New Roman"/>
          <w:b/>
          <w:sz w:val="20"/>
        </w:rPr>
      </w:pPr>
      <w:r>
        <w:rPr>
          <w:rFonts w:ascii="Times New Roman" w:hAnsi="Times New Roman"/>
          <w:b/>
          <w:sz w:val="20"/>
        </w:rPr>
        <w:t xml:space="preserve">100 Northern Avenue </w:t>
      </w:r>
    </w:p>
    <w:p>
      <w:pPr>
        <w:pStyle w:val="TextBody"/>
        <w:bidi w:val="0"/>
        <w:spacing w:before="0" w:after="0"/>
        <w:jc w:val="center"/>
        <w:rPr>
          <w:rFonts w:ascii="Times New Roman" w:hAnsi="Times New Roman"/>
          <w:b/>
          <w:sz w:val="20"/>
        </w:rPr>
      </w:pPr>
      <w:r>
        <w:rPr>
          <w:rFonts w:ascii="Times New Roman" w:hAnsi="Times New Roman"/>
          <w:b/>
          <w:sz w:val="20"/>
        </w:rPr>
        <w:t xml:space="preserve">Boston, Massachusetts 02210 </w:t>
      </w:r>
    </w:p>
    <w:p>
      <w:pPr>
        <w:pStyle w:val="TextBody"/>
        <w:bidi w:val="0"/>
        <w:spacing w:before="0" w:after="0"/>
        <w:jc w:val="center"/>
        <w:rPr>
          <w:rFonts w:ascii="Times New Roman" w:hAnsi="Times New Roman"/>
          <w:b/>
          <w:sz w:val="20"/>
        </w:rPr>
      </w:pPr>
      <w:r>
        <w:rPr>
          <w:rFonts w:ascii="Times New Roman" w:hAnsi="Times New Roman"/>
          <w:b/>
          <w:sz w:val="20"/>
        </w:rPr>
        <w:t xml:space="preserve">(617) 570-1000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Approximate date of commencement of proposed sale to the public: </w:t>
      </w:r>
    </w:p>
    <w:p>
      <w:pPr>
        <w:pStyle w:val="TextBody"/>
        <w:bidi w:val="0"/>
        <w:spacing w:before="240" w:after="0"/>
        <w:jc w:val="center"/>
        <w:rPr>
          <w:rFonts w:ascii="Times New Roman" w:hAnsi="Times New Roman"/>
          <w:b/>
          <w:sz w:val="20"/>
        </w:rPr>
      </w:pPr>
      <w:r>
        <w:rPr>
          <w:rFonts w:ascii="Times New Roman" w:hAnsi="Times New Roman"/>
          <w:b/>
          <w:sz w:val="20"/>
        </w:rPr>
        <w:t xml:space="preserve">From time to time after the effective date of this Registration Statement.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If the only securities being registered on this Form are being offered pursuant to dividend or interest reinvestment plans, please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any of the securities being registered on this Form are to be offered on a delayed or continuous basis pursuant to Rule 415 under Securities Act of 1933, other than securities offered only in connection with dividend or interest reinvestment plans,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registration statement pursuant to General Instruction I.D. or a post-effective amendment thereto that shall become effective upon filing with the Commission pursuant to Rule 462(e) of the Securities Act,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post-effective amendment to a registration statement filed pursuant to General Instruction I.D. filed to register additional securities or additional classes of securities pursuant to Rule 413(b) of the Securities Act,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23"/>
        <w:gridCol w:w="103"/>
        <w:gridCol w:w="4514"/>
        <w:gridCol w:w="120"/>
        <w:gridCol w:w="2800"/>
        <w:gridCol w:w="103"/>
        <w:gridCol w:w="242"/>
      </w:tblGrid>
      <w:tr>
        <w:trPr/>
        <w:tc>
          <w:tcPr>
            <w:tcW w:w="232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51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2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514"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80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r>
      <w:tr>
        <w:trPr>
          <w:trHeight w:val="60" w:hRule="atLeast"/>
        </w:trPr>
        <w:tc>
          <w:tcPr>
            <w:tcW w:w="2323" w:type="dxa"/>
            <w:tcBorders/>
            <w:vAlign w:val="center"/>
          </w:tcPr>
          <w:p>
            <w:pPr>
              <w:pStyle w:val="TableContents"/>
              <w:bidi w:val="0"/>
              <w:spacing w:before="0" w:after="283"/>
              <w:jc w:val="left"/>
              <w:rPr>
                <w:sz w:val="4"/>
                <w:szCs w:val="4"/>
              </w:rPr>
            </w:pPr>
            <w:r>
              <w:rPr>
                <w:sz w:val="4"/>
                <w:szCs w:val="4"/>
              </w:rPr>
            </w:r>
          </w:p>
        </w:tc>
        <w:tc>
          <w:tcPr>
            <w:tcW w:w="4617" w:type="dxa"/>
            <w:gridSpan w:val="2"/>
            <w:tcBorders/>
            <w:vAlign w:val="center"/>
          </w:tcPr>
          <w:p>
            <w:pPr>
              <w:pStyle w:val="TableContents"/>
              <w:bidi w:val="0"/>
              <w:spacing w:before="0" w:after="283"/>
              <w:jc w:val="left"/>
              <w:rPr>
                <w:sz w:val="4"/>
                <w:szCs w:val="4"/>
              </w:rPr>
            </w:pPr>
            <w:r>
              <w:rPr>
                <w:sz w:val="4"/>
                <w:szCs w:val="4"/>
              </w:rPr>
            </w:r>
          </w:p>
        </w:tc>
        <w:tc>
          <w:tcPr>
            <w:tcW w:w="2920" w:type="dxa"/>
            <w:gridSpan w:val="2"/>
            <w:tcBorders/>
            <w:vAlign w:val="center"/>
          </w:tcPr>
          <w:p>
            <w:pPr>
              <w:pStyle w:val="TableContents"/>
              <w:bidi w:val="0"/>
              <w:spacing w:before="0" w:after="283"/>
              <w:jc w:val="left"/>
              <w:rPr>
                <w:sz w:val="4"/>
                <w:szCs w:val="4"/>
              </w:rPr>
            </w:pPr>
            <w:r>
              <w:rPr>
                <w:sz w:val="4"/>
                <w:szCs w:val="4"/>
              </w:rPr>
            </w:r>
          </w:p>
        </w:tc>
        <w:tc>
          <w:tcPr>
            <w:tcW w:w="345" w:type="dxa"/>
            <w:gridSpan w:val="2"/>
            <w:tcBorders/>
            <w:vAlign w:val="center"/>
          </w:tcPr>
          <w:p>
            <w:pPr>
              <w:pStyle w:val="TableContents"/>
              <w:bidi w:val="0"/>
              <w:spacing w:before="0" w:after="283"/>
              <w:jc w:val="left"/>
              <w:rPr>
                <w:sz w:val="4"/>
                <w:szCs w:val="4"/>
              </w:rPr>
            </w:pPr>
            <w:r>
              <w:rPr>
                <w:sz w:val="4"/>
                <w:szCs w:val="4"/>
              </w:rPr>
            </w:r>
          </w:p>
        </w:tc>
      </w:tr>
      <w:tr>
        <w:trPr/>
        <w:tc>
          <w:tcPr>
            <w:tcW w:w="232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514"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80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r>
      <w:tr>
        <w:trPr>
          <w:trHeight w:val="60" w:hRule="atLeast"/>
        </w:trPr>
        <w:tc>
          <w:tcPr>
            <w:tcW w:w="2323" w:type="dxa"/>
            <w:tcBorders/>
            <w:vAlign w:val="center"/>
          </w:tcPr>
          <w:p>
            <w:pPr>
              <w:pStyle w:val="TableContents"/>
              <w:bidi w:val="0"/>
              <w:spacing w:before="0" w:after="283"/>
              <w:jc w:val="left"/>
              <w:rPr>
                <w:sz w:val="4"/>
                <w:szCs w:val="4"/>
              </w:rPr>
            </w:pPr>
            <w:r>
              <w:rPr>
                <w:sz w:val="4"/>
                <w:szCs w:val="4"/>
              </w:rPr>
            </w:r>
          </w:p>
        </w:tc>
        <w:tc>
          <w:tcPr>
            <w:tcW w:w="4617" w:type="dxa"/>
            <w:gridSpan w:val="2"/>
            <w:tcBorders/>
            <w:vAlign w:val="center"/>
          </w:tcPr>
          <w:p>
            <w:pPr>
              <w:pStyle w:val="TableContents"/>
              <w:bidi w:val="0"/>
              <w:spacing w:before="0" w:after="283"/>
              <w:jc w:val="left"/>
              <w:rPr>
                <w:sz w:val="4"/>
                <w:szCs w:val="4"/>
              </w:rPr>
            </w:pPr>
            <w:r>
              <w:rPr>
                <w:sz w:val="4"/>
                <w:szCs w:val="4"/>
              </w:rPr>
            </w:r>
          </w:p>
        </w:tc>
        <w:tc>
          <w:tcPr>
            <w:tcW w:w="2920" w:type="dxa"/>
            <w:gridSpan w:val="2"/>
            <w:tcBorders/>
            <w:vAlign w:val="center"/>
          </w:tcPr>
          <w:p>
            <w:pPr>
              <w:pStyle w:val="TableContents"/>
              <w:bidi w:val="0"/>
              <w:spacing w:before="0" w:after="283"/>
              <w:jc w:val="left"/>
              <w:rPr>
                <w:sz w:val="4"/>
                <w:szCs w:val="4"/>
              </w:rPr>
            </w:pPr>
            <w:r>
              <w:rPr>
                <w:sz w:val="4"/>
                <w:szCs w:val="4"/>
              </w:rPr>
            </w:r>
          </w:p>
        </w:tc>
        <w:tc>
          <w:tcPr>
            <w:tcW w:w="345" w:type="dxa"/>
            <w:gridSpan w:val="2"/>
            <w:tcBorders/>
            <w:vAlign w:val="center"/>
          </w:tcPr>
          <w:p>
            <w:pPr>
              <w:pStyle w:val="TableContents"/>
              <w:bidi w:val="0"/>
              <w:spacing w:before="0" w:after="283"/>
              <w:jc w:val="left"/>
              <w:rPr>
                <w:sz w:val="4"/>
                <w:szCs w:val="4"/>
              </w:rPr>
            </w:pPr>
            <w:r>
              <w:rPr>
                <w:sz w:val="4"/>
                <w:szCs w:val="4"/>
              </w:rPr>
            </w:r>
          </w:p>
        </w:tc>
      </w:tr>
      <w:tr>
        <w:trPr/>
        <w:tc>
          <w:tcPr>
            <w:tcW w:w="232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14"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0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We are filing this registration statement solely to replace the Registration Statement No. 333-273707 filed on August 4, 2023 (the “Prior Registration Statement”) that is expiring pursuant to Rule 415(a)(5) under the Securities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3657600" cy="7626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76263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RIGHTS </w:t>
      </w:r>
    </w:p>
    <w:p>
      <w:pPr>
        <w:pStyle w:val="TextBody"/>
        <w:bidi w:val="0"/>
        <w:spacing w:before="0" w:after="0"/>
        <w:jc w:val="center"/>
        <w:rPr>
          <w:rFonts w:ascii="Times New Roman" w:hAnsi="Times New Roman"/>
          <w:b/>
          <w:sz w:val="28"/>
        </w:rPr>
      </w:pPr>
      <w:r>
        <w:rPr>
          <w:rFonts w:ascii="Times New Roman" w:hAnsi="Times New Roman"/>
          <w:b/>
          <w:sz w:val="28"/>
        </w:rPr>
        <w:t xml:space="preserve">STOCK 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or any selling securityholders to be identified in the future, may offer from time to time, in one or more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depositary shares representing an interest in a fractional share or multiple shares of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and/or subordinated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to purchase common stock, preferred stock and/or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to purchase common stock, preferred stock and/or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purchase contracts relating to a specified number of shares of common stock, preferred stock or depositary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units consisting of two or more of these classes or series of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or any selling securityholders to be identified in the future, may offer these securities in amounts, at prices and on terms determined at the time of offering. The specific plan of distribution for any securities to be offered will be provided in a prospectus supplement. If we use agents, underwriters or dealers to sell these securities, a prospectus supplement will name them and describe their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any securities to be offered will be described in a supplement to this prospectus. The prospectus supplement may also add, update or change information contained in this prospectus. You should read this prospectus and any prospectus supplement, together with additional information described under the heading “Where You Can Find More Information,” before you make an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(the “NYSE”) under the symbol “MAC.” On August 4, 2026, the last reported sale price of our common stock on the NYSE was $25.62 per share. As of the date of this prospectus, none of the other securities that we may offer by this prospectus is listed on any national securities exchange or automated quotation system.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a high degree of risk. See “</w:t>
      </w:r>
      <w:hyperlink w:anchor="tx158325_5">
        <w:r>
          <w:rPr>
            <w:rStyle w:val="InternetLink"/>
            <w:rFonts w:ascii="Times New Roman" w:hAnsi="Times New Roman"/>
            <w:b/>
            <w:sz w:val="24"/>
          </w:rPr>
          <w:t>Risk Factors</w:t>
        </w:r>
      </w:hyperlink>
      <w:r>
        <w:rPr>
          <w:rFonts w:ascii="Times New Roman" w:hAnsi="Times New Roman"/>
          <w:b/>
          <w:sz w:val="24"/>
        </w:rPr>
        <w:t xml:space="preserve">” beginning on page 4 of this prospectus, as well as the Risk Factors contained in the applicable prospectus supplement and in the documents we incorporate by reference in this prospectus to read about factors you should consider before investing in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5,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66"/>
        <w:gridCol w:w="260"/>
        <w:gridCol w:w="96"/>
        <w:gridCol w:w="421"/>
        <w:gridCol w:w="62"/>
      </w:tblGrid>
      <w:tr>
        <w:trPr/>
        <w:tc>
          <w:tcPr>
            <w:tcW w:w="9366"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366" w:type="dxa"/>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r>
      <w:tr>
        <w:trPr/>
        <w:tc>
          <w:tcPr>
            <w:tcW w:w="9366" w:type="dxa"/>
            <w:tcBorders/>
          </w:tcPr>
          <w:p>
            <w:pPr>
              <w:pStyle w:val="TableContents"/>
              <w:bidi w:val="0"/>
              <w:spacing w:before="0" w:after="0"/>
              <w:jc w:val="left"/>
              <w:rPr/>
            </w:pPr>
            <w:hyperlink w:anchor="tx158325_1">
              <w:r>
                <w:rPr>
                  <w:rStyle w:val="InternetLink"/>
                  <w:rFonts w:ascii="Times New Roman" w:hAnsi="Times New Roman"/>
                  <w:sz w:val="20"/>
                </w:rPr>
                <w:t>ABOUT THIS PROSPECTUS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2">
              <w:r>
                <w:rPr>
                  <w:rStyle w:val="InternetLink"/>
                  <w:rFonts w:ascii="Times New Roman" w:hAnsi="Times New Roman"/>
                  <w:sz w:val="20"/>
                </w:rPr>
                <w:t>WHERE YOU CAN FIND MORE INFORMATION</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3">
              <w:r>
                <w:rPr>
                  <w:rStyle w:val="InternetLink"/>
                  <w:rFonts w:ascii="Times New Roman" w:hAnsi="Times New Roman"/>
                  <w:sz w:val="20"/>
                </w:rPr>
                <w:t>INCORPORATION OF CERTAIN DOCUMENTS BY REFERENCE</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4">
              <w:r>
                <w:rPr>
                  <w:rStyle w:val="InternetLink"/>
                  <w:rFonts w:ascii="Times New Roman" w:hAnsi="Times New Roman"/>
                  <w:sz w:val="20"/>
                </w:rPr>
                <w:t>FORWARD-LOOKING STATEMENTS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5">
              <w:r>
                <w:rPr>
                  <w:rStyle w:val="InternetLink"/>
                  <w:rFonts w:ascii="Times New Roman" w:hAnsi="Times New Roman"/>
                  <w:sz w:val="20"/>
                </w:rPr>
                <w:t>RISK FACTORS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6">
              <w:r>
                <w:rPr>
                  <w:rStyle w:val="InternetLink"/>
                  <w:rFonts w:ascii="Times New Roman" w:hAnsi="Times New Roman"/>
                  <w:sz w:val="20"/>
                </w:rPr>
                <w:t>THE MACERICH COMPANY</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7">
              <w:r>
                <w:rPr>
                  <w:rStyle w:val="InternetLink"/>
                  <w:rFonts w:ascii="Times New Roman" w:hAnsi="Times New Roman"/>
                  <w:sz w:val="20"/>
                </w:rPr>
                <w:t>USE OF PROCEEDS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8">
              <w:r>
                <w:rPr>
                  <w:rStyle w:val="InternetLink"/>
                  <w:rFonts w:ascii="Times New Roman" w:hAnsi="Times New Roman"/>
                  <w:sz w:val="20"/>
                </w:rPr>
                <w:t>DESCRIPTION OF OUR CAPITAL STOCK</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9">
              <w:r>
                <w:rPr>
                  <w:rStyle w:val="InternetLink"/>
                  <w:rFonts w:ascii="Times New Roman" w:hAnsi="Times New Roman"/>
                  <w:sz w:val="20"/>
                </w:rPr>
                <w:t>DESCRIPTION OF OUR COMMON STOCK</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0">
              <w:r>
                <w:rPr>
                  <w:rStyle w:val="InternetLink"/>
                  <w:rFonts w:ascii="Times New Roman" w:hAnsi="Times New Roman"/>
                  <w:sz w:val="20"/>
                </w:rPr>
                <w:t>DESCRIPTION OF OUR PREFERRED STOCK</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1">
              <w:r>
                <w:rPr>
                  <w:rStyle w:val="InternetLink"/>
                  <w:rFonts w:ascii="Times New Roman" w:hAnsi="Times New Roman"/>
                  <w:sz w:val="20"/>
                </w:rPr>
                <w:t>DESCRIPTION OF DEPOSITARY SHARES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2">
              <w:r>
                <w:rPr>
                  <w:rStyle w:val="InternetLink"/>
                  <w:rFonts w:ascii="Times New Roman" w:hAnsi="Times New Roman"/>
                  <w:sz w:val="20"/>
                </w:rPr>
                <w:t>DESCRIPTION OF DEBT SECURITIES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3">
              <w:r>
                <w:rPr>
                  <w:rStyle w:val="InternetLink"/>
                  <w:rFonts w:ascii="Times New Roman" w:hAnsi="Times New Roman"/>
                  <w:sz w:val="20"/>
                </w:rPr>
                <w:t>DESCRIPTION OF WARRANTS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4">
              <w:r>
                <w:rPr>
                  <w:rStyle w:val="InternetLink"/>
                  <w:rFonts w:ascii="Times New Roman" w:hAnsi="Times New Roman"/>
                  <w:sz w:val="20"/>
                </w:rPr>
                <w:t>DESCRIPTION OF RIGHTS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5">
              <w:r>
                <w:rPr>
                  <w:rStyle w:val="InternetLink"/>
                  <w:rFonts w:ascii="Times New Roman" w:hAnsi="Times New Roman"/>
                  <w:sz w:val="20"/>
                </w:rPr>
                <w:t>DESCRIPTION OF STOCK PURCHASE CONTRACTS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6">
              <w:r>
                <w:rPr>
                  <w:rStyle w:val="InternetLink"/>
                  <w:rFonts w:ascii="Times New Roman" w:hAnsi="Times New Roman"/>
                  <w:sz w:val="20"/>
                </w:rPr>
                <w:t>DESCRIPTION OF UNITS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7">
              <w:r>
                <w:rPr>
                  <w:rStyle w:val="InternetLink"/>
                  <w:rFonts w:ascii="Times New Roman" w:hAnsi="Times New Roman"/>
                  <w:sz w:val="20"/>
                </w:rPr>
                <w:t>MATERIAL UNITED STATES FEDERAL INCOME TAX CONSIDERATIONS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8">
              <w:r>
                <w:rPr>
                  <w:rStyle w:val="InternetLink"/>
                  <w:rFonts w:ascii="Times New Roman" w:hAnsi="Times New Roman"/>
                  <w:sz w:val="20"/>
                </w:rPr>
                <w:t>SELLING SECURITYHOLDERS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9">
              <w:r>
                <w:rPr>
                  <w:rStyle w:val="InternetLink"/>
                  <w:rFonts w:ascii="Times New Roman" w:hAnsi="Times New Roman"/>
                  <w:sz w:val="20"/>
                </w:rPr>
                <w:t>PLAN OF DISTRIBUTION</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20">
              <w:r>
                <w:rPr>
                  <w:rStyle w:val="InternetLink"/>
                  <w:rFonts w:ascii="Times New Roman" w:hAnsi="Times New Roman"/>
                  <w:sz w:val="20"/>
                </w:rPr>
                <w:t>LEGAL MATTERS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21">
              <w:r>
                <w:rPr>
                  <w:rStyle w:val="InternetLink"/>
                  <w:rFonts w:ascii="Times New Roman" w:hAnsi="Times New Roman"/>
                  <w:sz w:val="20"/>
                </w:rPr>
                <w:t>EXPERTS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x158325_1"/>
      <w:bookmarkEnd w:id="2"/>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that we filed on Form S-3 with the SEC as a “well-known seasoned issuer” as defined in Rule 405 under the Securities Act of 1933, as amended (the “Securities Act”), using a “shelf” registration process. By using a shelf registration statement, we or any selling securityholders may sell any combination of our common stock, preferred stock, depositary shares, debt securities, warrants, rights, stock purchase contracts or units from time to time and in one or more offerings. Each time we sell securities, we will provide a supplement to this prospectus that contains specific information about the securities being offered (if other than common stock) and the specific terms of that offering. The supplement may also add, update or change information contained in this prospectus. If there is any inconsistency between the information in this prospectus and any prospectus supplement, you should rely on the prospectus supplement. Before purchasing any securities, you should carefully read both this prospectus and any prospectus supplement, together with the additional information described under the headings “Where You Can Find More Information” and “Incorporation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will not make an offer to sell these securities in any jurisdiction where the offer or sale is not permitted. You should assume that the information appearing in this prospectus and any prospectus supplement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or the context otherwise requires, references in this prospectus to the “Company,” “we,” “us” and “our” refer to The Macerich Company, those entities owned or controlled by The Macerich Company and predecessors of The Macerich Company. </w:t>
      </w:r>
    </w:p>
    <w:p>
      <w:pPr>
        <w:pStyle w:val="TextBody"/>
        <w:bidi w:val="0"/>
        <w:spacing w:before="480" w:after="0"/>
        <w:jc w:val="center"/>
        <w:rPr>
          <w:rFonts w:ascii="Times New Roman" w:hAnsi="Times New Roman"/>
          <w:b/>
          <w:sz w:val="20"/>
        </w:rPr>
      </w:pPr>
      <w:bookmarkStart w:id="3" w:name="tx158325_2"/>
      <w:bookmarkEnd w:id="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our registration statement on Form S-3 with the SEC under the Securities Act. We also file annual, quarterly and current reports, proxy statements and other information with the SEC. The SEC maintains a website that contains reports, proxy statements and other information regarding registrants, including us, that file such information electronically with the SEC. The address of the SEC’s website is http://www.sec.gov. Copies of these documents may also be available on our website at www.macerich.com. The information on our website does not constitute part of this prospectus or any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indicated above. Forms of the indenture and other documents establishing the terms of the offered securities are filed as exhibits to the registration statement or will be filed through an amendment to our registration statement on Form S-3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tx158325_3"/>
      <w:bookmarkEnd w:id="4"/>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 this prospectus the information we file with the SEC, which means that we can disclose important information to you by referring you to those documents. The information incorporated by reference is considered to be part of this prospectus, and later information filed with the SEC will update and supersede the information included or incorporated by reference in this prospectus. We incorporate by reference in this prospectus the following information (other than, in each case, documents or information deemed to have been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3">
              <w:r>
                <w:rPr>
                  <w:rStyle w:val="InternetLink"/>
                  <w:rFonts w:ascii="Times New Roman" w:hAnsi="Times New Roman"/>
                  <w:sz w:val="20"/>
                </w:rPr>
                <w:t>Annual Report on Form 10-K</w:t>
              </w:r>
            </w:hyperlink>
            <w:r>
              <w:rPr>
                <w:rFonts w:ascii="Times New Roman" w:hAnsi="Times New Roman"/>
                <w:sz w:val="20"/>
              </w:rPr>
              <w:t xml:space="preserve"> for the year ended December 31, 2025, filed on February 20,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those portions of our definitive </w:t>
            </w:r>
            <w:hyperlink r:id="rId4">
              <w:r>
                <w:rPr>
                  <w:rStyle w:val="InternetLink"/>
                  <w:rFonts w:ascii="Times New Roman" w:hAnsi="Times New Roman"/>
                  <w:sz w:val="20"/>
                </w:rPr>
                <w:t>Proxy Statement on Schedule 14A</w:t>
              </w:r>
            </w:hyperlink>
            <w:r>
              <w:rPr>
                <w:rFonts w:ascii="Times New Roman" w:hAnsi="Times New Roman"/>
                <w:sz w:val="20"/>
              </w:rPr>
              <w:t xml:space="preserve"> for our 2026 Annual Meeting of Stockholders, filed on April 22, 2026, that are incorporated by reference in our Annual Report on Form 10-K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5">
              <w:r>
                <w:rPr>
                  <w:rStyle w:val="InternetLink"/>
                  <w:rFonts w:ascii="Times New Roman" w:hAnsi="Times New Roman"/>
                  <w:sz w:val="20"/>
                </w:rPr>
                <w:t>Quarterly Report on Form 10-Q</w:t>
              </w:r>
            </w:hyperlink>
            <w:r>
              <w:rPr>
                <w:rFonts w:ascii="Times New Roman" w:hAnsi="Times New Roman"/>
                <w:sz w:val="20"/>
              </w:rPr>
              <w:t xml:space="preserve"> for the period ended March 31, 2026, filed on May  7, 2026, and our </w:t>
            </w:r>
            <w:hyperlink r:id="rId6">
              <w:r>
                <w:rPr>
                  <w:rStyle w:val="InternetLink"/>
                  <w:rFonts w:ascii="Times New Roman" w:hAnsi="Times New Roman"/>
                  <w:sz w:val="20"/>
                </w:rPr>
                <w:t>Quarterly Report on Form 10-Q</w:t>
              </w:r>
            </w:hyperlink>
            <w:r>
              <w:rPr>
                <w:rFonts w:ascii="Times New Roman" w:hAnsi="Times New Roman"/>
                <w:sz w:val="20"/>
              </w:rPr>
              <w:t xml:space="preserve"> for the period ended June 30, 2026, filed on August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7">
              <w:r>
                <w:rPr>
                  <w:rStyle w:val="InternetLink"/>
                  <w:rFonts w:ascii="Times New Roman" w:hAnsi="Times New Roman"/>
                  <w:sz w:val="20"/>
                </w:rPr>
                <w:t>February 26, 2026</w:t>
              </w:r>
            </w:hyperlink>
            <w:r>
              <w:rPr>
                <w:rFonts w:ascii="Times New Roman" w:hAnsi="Times New Roman"/>
                <w:sz w:val="20"/>
              </w:rPr>
              <w:t xml:space="preserve">, </w:t>
            </w:r>
            <w:hyperlink r:id="rId8">
              <w:r>
                <w:rPr>
                  <w:rStyle w:val="InternetLink"/>
                  <w:rFonts w:ascii="Times New Roman" w:hAnsi="Times New Roman"/>
                  <w:sz w:val="20"/>
                </w:rPr>
                <w:t>May  13, 2026</w:t>
              </w:r>
            </w:hyperlink>
            <w:r>
              <w:rPr>
                <w:rFonts w:ascii="Times New Roman" w:hAnsi="Times New Roman"/>
                <w:sz w:val="20"/>
              </w:rPr>
              <w:t xml:space="preserve">, </w:t>
            </w:r>
            <w:hyperlink r:id="rId9">
              <w:r>
                <w:rPr>
                  <w:rStyle w:val="InternetLink"/>
                  <w:rFonts w:ascii="Times New Roman" w:hAnsi="Times New Roman"/>
                  <w:sz w:val="20"/>
                </w:rPr>
                <w:t>June  3, 2026</w:t>
              </w:r>
            </w:hyperlink>
            <w:r>
              <w:rPr>
                <w:rFonts w:ascii="Times New Roman" w:hAnsi="Times New Roman"/>
                <w:sz w:val="20"/>
              </w:rPr>
              <w:t xml:space="preserve">, </w:t>
            </w:r>
            <w:hyperlink r:id="rId10">
              <w:r>
                <w:rPr>
                  <w:rStyle w:val="InternetLink"/>
                  <w:rFonts w:ascii="Times New Roman" w:hAnsi="Times New Roman"/>
                  <w:sz w:val="20"/>
                </w:rPr>
                <w:t>June  17, 2026</w:t>
              </w:r>
            </w:hyperlink>
            <w:r>
              <w:rPr>
                <w:rFonts w:ascii="Times New Roman" w:hAnsi="Times New Roman"/>
                <w:sz w:val="20"/>
              </w:rPr>
              <w:t xml:space="preserve">, and </w:t>
            </w:r>
            <w:hyperlink r:id="rId11">
              <w:r>
                <w:rPr>
                  <w:rStyle w:val="InternetLink"/>
                  <w:rFonts w:ascii="Times New Roman" w:hAnsi="Times New Roman"/>
                  <w:sz w:val="20"/>
                </w:rPr>
                <w:t>June 29,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statements filed with the SEC, as updated by </w:t>
            </w:r>
            <w:hyperlink r:id="rId12">
              <w:r>
                <w:rPr>
                  <w:rStyle w:val="InternetLink"/>
                  <w:rFonts w:ascii="Times New Roman" w:hAnsi="Times New Roman"/>
                  <w:sz w:val="20"/>
                </w:rPr>
                <w:t>Exhibit 4.1</w:t>
              </w:r>
            </w:hyperlink>
            <w:r>
              <w:rPr>
                <w:rFonts w:ascii="Times New Roman" w:hAnsi="Times New Roman"/>
                <w:sz w:val="20"/>
              </w:rPr>
              <w:t xml:space="preserve"> to our Annual Report on Form 10-K for the year ended December 31, 2023, filed on February 26, 2024, including any amendments or reports filed for the purpose of updating such descriptions;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filed by us with the SEC pursuant to Sections 13(a), 13(c), 14 or 15(d) of the Securities Exchange Act of 1934, as amended (the “Exchange Act”), after the date of this prospectus and until all of the securities offered under this prospectus are sold, except as to any portion of any future report or document that is deemed furnished and not filed in accordance with SEC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request, we will provide, without charge, to each person to whom a copy of this prospectus is delivered a copy of any or all of the documents incorporated by reference in this prospectus. You may request a copy of these filings, and any exhibits we have specifically incorporated by reference as an exhibit to this prospectus, by writing or telephoning us at the following: </w:t>
      </w:r>
    </w:p>
    <w:p>
      <w:pPr>
        <w:pStyle w:val="TextBody"/>
        <w:bidi w:val="0"/>
        <w:spacing w:before="240" w:after="0"/>
        <w:jc w:val="center"/>
        <w:rPr>
          <w:rFonts w:ascii="Times New Roman" w:hAnsi="Times New Roman"/>
          <w:sz w:val="20"/>
        </w:rPr>
      </w:pPr>
      <w:r>
        <w:rPr>
          <w:rFonts w:ascii="Times New Roman" w:hAnsi="Times New Roman"/>
          <w:sz w:val="20"/>
        </w:rPr>
        <w:t xml:space="preserve">The Macerich Company </w:t>
      </w:r>
    </w:p>
    <w:p>
      <w:pPr>
        <w:pStyle w:val="TextBody"/>
        <w:bidi w:val="0"/>
        <w:spacing w:before="0" w:after="0"/>
        <w:jc w:val="center"/>
        <w:rPr>
          <w:rFonts w:ascii="Times New Roman" w:hAnsi="Times New Roman"/>
          <w:sz w:val="20"/>
        </w:rPr>
      </w:pPr>
      <w:r>
        <w:rPr>
          <w:rFonts w:ascii="Times New Roman" w:hAnsi="Times New Roman"/>
          <w:sz w:val="20"/>
        </w:rPr>
        <w:t xml:space="preserve">401 Wilshire Boulevard, Suite 700 </w:t>
      </w:r>
    </w:p>
    <w:p>
      <w:pPr>
        <w:pStyle w:val="TextBody"/>
        <w:bidi w:val="0"/>
        <w:spacing w:before="0" w:after="0"/>
        <w:jc w:val="center"/>
        <w:rPr>
          <w:rFonts w:ascii="Times New Roman" w:hAnsi="Times New Roman"/>
          <w:sz w:val="20"/>
        </w:rPr>
      </w:pPr>
      <w:r>
        <w:rPr>
          <w:rFonts w:ascii="Times New Roman" w:hAnsi="Times New Roman"/>
          <w:sz w:val="20"/>
        </w:rPr>
        <w:t xml:space="preserve">Santa Monica, CA 90401-1452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(310) 394-6000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5" w:name="tx158325_4"/>
      <w:bookmarkEnd w:id="5"/>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or incorporates by reference, and any prospectus supplement will contain or incorporate by reference,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include statements regarding, among other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our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our Path Forward Plan and our ability to meet the goals established under such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beliefs regarding our acquisition, redevelopment, development, leasing and operational activities and opportunities, including the performance and financial stability of our retailers;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acquisition, disposition and other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matters pertaining to compliance with governmental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capital expenditure plans and expectations for obtaining capital for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income tax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financial condition or results of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for refinancing our indebtedness, entering into and servicing debt obligations and entering into joint venture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caution you that any such forward-looking statements are not guarantees of future performance and involve risks, uncertainties and other factors that may cause our actual results, performance or achievements, or those of the industry, to differ materially from our future results, performance or achievements, or those of the industry, expressed or implied in such forward-looking statements. Such factors include, among others, general industry, as well as global, national, regional and local economic and business conditions, including the impact of geopolitical tensions, tariffs, elevated interest rates and inflation, which will, among other things, affect demand for retail space or retail goods, availability and creditworthiness of current and prospective tenants, anchor or tenant bankruptcies, closures, mergers or consolidations, lease rates, terms and payments; elevated interest rates and their impact on our financial condition and results of operations, including as a result of any increased borrowing costs on our outstanding floating-rate debt and defaults on mortgage loans, availability, terms and cost of financing and operating expenses; adverse changes in the real estate markets including, among other things, competition from other companies, retail formats and technology, risks of real estate development and redevelopment (including elevated inflation, supply chain disruptions and construction delays), acquisitions and dispositions; adverse impacts from any pandemic, epidemic or outbreak of any highly infectious disease on the U.S., regional and global economies and our financial condition and results of operations and the results of operations of our tenants; the liquidity of real estate investments; government shutdowns and other governmental actions and initiatives (including legislative and regulatory changes); environmental and safety requirements; and terrorist activities or other acts of violence which could adversely affect all of the above factors. We urge you to carefully review the disclosures we make concerning these risks and other factors that may affect our business and operating results under “Item 1A. Risk Factors” in our Annual Report on Form 10-K for the year ended December 31, 2025, as such risk factors may be amended, supplemented or superseded from time to time by other reports we file with the SEC in the future, including subsequent Annual Reports on Form 10-K and Quarterly Reports on Form 10-Q, and in any prospectus supplement, which disclosures are incorporated herein by reference. We caution you not to place undue reliance on these forward-looking statements, which speak only as of the date of this prospectus, any prospectus supplement or any other document incorporated by reference into this prospectus or any prospectus supplement. We do not intend, and we undertake no obligation, to update any forward-looking information to reflect events or circumstances after the date of this prospectus or any prospectus supplement or to reflect the occurrence of unanticipated events, unless required by law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tx158325_5"/>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making an investment decision, you should carefully consider any risk factors set forth in the applicable prospectus supplement and the documents incorporated by reference in this prospectus, including our Annual Report on Form 10-K, our Quarterly Reports on Form 10-Q, and the applicable prospectus supplement, as well as other information we include or incorporate by reference in this prospectus and in the applicable prospectus supplement. See “Where You Can Find More Information” and “Incorporation of Certain Documents by Reference.” </w:t>
      </w:r>
    </w:p>
    <w:p>
      <w:pPr>
        <w:pStyle w:val="TextBody"/>
        <w:bidi w:val="0"/>
        <w:spacing w:before="480" w:after="0"/>
        <w:jc w:val="center"/>
        <w:rPr>
          <w:rFonts w:ascii="Times New Roman" w:hAnsi="Times New Roman"/>
          <w:b/>
          <w:sz w:val="20"/>
        </w:rPr>
      </w:pPr>
      <w:bookmarkStart w:id="7" w:name="tx158325_6"/>
      <w:bookmarkEnd w:id="7"/>
      <w:r>
        <w:rPr>
          <w:rFonts w:ascii="Times New Roman" w:hAnsi="Times New Roman"/>
          <w:b/>
          <w:sz w:val="20"/>
        </w:rPr>
        <w:t xml:space="preserve">THE MACERICH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involved in the acquisition, ownership, development, redevelopment, management and leasing of regional and community/power shopping centers located throughout the United States. We are the sole general partner of, and own a majority of the ownership interests in, The Macerich Partnership, L.P., a Delaware limited partnership (the “Operating Partnership”). As of June 30, 2026, the Operating Partnership owned or had an ownership interest in 37 regional retail centers (including office, hotel and residential space adjacent to these shopping centers) and one community/power shopping center. These 37 regional retail centers and community/power shopping center consist of approximately 40 million square feet of gross leasable area. </w:t>
      </w:r>
    </w:p>
    <w:p>
      <w:pPr>
        <w:pStyle w:val="TextBody"/>
        <w:bidi w:val="0"/>
        <w:spacing w:before="240" w:after="0"/>
        <w:jc w:val="left"/>
        <w:rPr>
          <w:rFonts w:ascii="Times New Roman" w:hAnsi="Times New Roman"/>
          <w:sz w:val="20"/>
        </w:rPr>
      </w:pPr>
      <w:r>
        <w:rPr>
          <w:rFonts w:ascii="Times New Roman" w:hAnsi="Times New Roman"/>
          <w:sz w:val="20"/>
        </w:rPr>
        <w:t xml:space="preserve">We are a self-administered and self-managed real estate investment trust (“REIT”) and we conduct all of our operations through the Operating Partnership and our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We own all seven of the management companies. </w:t>
      </w:r>
    </w:p>
    <w:p>
      <w:pPr>
        <w:pStyle w:val="TextBody"/>
        <w:bidi w:val="0"/>
        <w:spacing w:before="240" w:after="0"/>
        <w:jc w:val="left"/>
        <w:rPr>
          <w:rFonts w:ascii="Times New Roman" w:hAnsi="Times New Roman"/>
          <w:sz w:val="20"/>
        </w:rPr>
      </w:pPr>
      <w:r>
        <w:rPr>
          <w:rFonts w:ascii="Times New Roman" w:hAnsi="Times New Roman"/>
          <w:sz w:val="20"/>
        </w:rPr>
        <w:t xml:space="preserve">We were organized as a Maryland corporation in September 1993. Our principal executive offices are located at 401 Wilshire Boulevard, Suite 700, Santa Monica, California 90401. Our telephone number is (310) 394-6000. Our website address is www.macerich.com. The information on our website does not constitute part of this prospectus or any prospectus supplement. </w:t>
      </w:r>
    </w:p>
    <w:p>
      <w:pPr>
        <w:pStyle w:val="TextBody"/>
        <w:bidi w:val="0"/>
        <w:spacing w:before="480" w:after="0"/>
        <w:jc w:val="center"/>
        <w:rPr>
          <w:rFonts w:ascii="Times New Roman" w:hAnsi="Times New Roman"/>
          <w:b/>
          <w:sz w:val="20"/>
        </w:rPr>
      </w:pPr>
      <w:bookmarkStart w:id="8" w:name="tx158325_7"/>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When we offer particular securities, we will describe in a prospectus supplement relating to the securities offered how we intend to use the proceeds from their sale. We may invest funds not required immediately for such purposes in short-term investment grade securities. We will not receive any proceeds from the sale of securities by selling securityholders. </w:t>
      </w:r>
    </w:p>
    <w:p>
      <w:pPr>
        <w:pStyle w:val="TextBody"/>
        <w:bidi w:val="0"/>
        <w:spacing w:before="480" w:after="0"/>
        <w:jc w:val="center"/>
        <w:rPr>
          <w:rFonts w:ascii="Times New Roman" w:hAnsi="Times New Roman"/>
          <w:b/>
          <w:sz w:val="20"/>
        </w:rPr>
      </w:pPr>
      <w:bookmarkStart w:id="9" w:name="tx158325_8"/>
      <w:bookmarkEnd w:id="9"/>
      <w:r>
        <w:rPr>
          <w:rFonts w:ascii="Times New Roman" w:hAnsi="Times New Roman"/>
          <w:b/>
          <w:sz w:val="20"/>
        </w:rPr>
        <w:t xml:space="preserve">DESCRIPTION OF OUR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description of the material terms of our capital stock. Provisions of our Articles of Amendment and Restatement, as further amended, corrected and supplemented (our “Charter”), and our Amended and Restated Bylaws (our “Bylaws”) fix or may affect some of the terms of our capital stock. For a complete description of the terms of all of our capital stock, including our common stock, we refer you to the Maryland General Corporation Law (the “MGCL”), our Charter and our Bylaws. Our Charter and our Bylaws are incorporated by reference as exhibits to the registration statement of which this prospectus is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Capitalization </w:t>
      </w:r>
    </w:p>
    <w:p>
      <w:pPr>
        <w:pStyle w:val="TextBody"/>
        <w:bidi w:val="0"/>
        <w:spacing w:before="120" w:after="0"/>
        <w:jc w:val="left"/>
        <w:rPr>
          <w:rFonts w:ascii="Times New Roman" w:hAnsi="Times New Roman"/>
          <w:sz w:val="20"/>
        </w:rPr>
      </w:pPr>
      <w:r>
        <w:rPr>
          <w:rFonts w:ascii="Times New Roman" w:hAnsi="Times New Roman"/>
          <w:sz w:val="20"/>
        </w:rPr>
        <w:t xml:space="preserve">Our Charter authorizes us to issue up to 575,000,000 shares of capital stock, consisting of 500,000,000 shares of common stock, $0.01 par value per share, 15,000,000 shares of preferred stock, $0.01 par value per share, and 60,000,000 shares of excess stock, $0.01 par value per share (“excess stock”). As of June 30, 2026, we had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283,839,533 shares of common stock (including 280,158 shares of unvested restricted common stock) issued and outstanding;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1,961,345 shares of Series D Cumulative Convertible Preferred Stock, par value $0.01 per share (the “Series D Preferred Stock”), authorized, none of which are outstanding.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as of June 30, 2026, 26,371 shares of our common stock were reserved for issuance upon exercise of outstanding employee stock options and employee stock appreciation rights, 522,667 shares of our common stock were reserved for issuance upon the payment of stock units issued under our Eligible Directors’ Deferred Compensation/Phantom Stock Plan and 2003 Equity Incentive Plan, each as amended and restated, 13,779,659 shares of our common stock were reserved for issuance upon redemption of outstanding limited partnership units and long-term incentive plan units (including 2,484,559 of unvested long-term incentive plan units) of the Operating Partnership, and 100,776 shares of our common stock were reserved for issuance upon redemption of outstanding limited partnership units of MACWH, LP. </w:t>
      </w:r>
    </w:p>
    <w:p>
      <w:pPr>
        <w:pStyle w:val="TextBody"/>
        <w:bidi w:val="0"/>
        <w:spacing w:before="240" w:after="0"/>
        <w:jc w:val="left"/>
        <w:rPr>
          <w:rFonts w:ascii="Times New Roman" w:hAnsi="Times New Roman"/>
          <w:sz w:val="20"/>
        </w:rPr>
      </w:pPr>
      <w:r>
        <w:rPr>
          <w:rFonts w:ascii="Times New Roman" w:hAnsi="Times New Roman"/>
          <w:sz w:val="20"/>
        </w:rPr>
        <w:t xml:space="preserve">Shares of Series D Preferred Stock, if issued, could be converted into shares of our common stock based on a formula set forth in the applicable Articles Supplementary. Rights of holders of Series D Preferred Stock include dividend and liquidation preferences over the holders of shares of our common stock and voting rights in some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Our Charter and the MGCL permit our board of directors, or any duly authorized committee thereof, to classify and reclassify any unissued shares of our capital stock by setting or changing in any one or more respects the preferences, conversion or other rights, voting powers, restrictions, limitations as to dividends and other distributions, qualifications or terms and conditions of redemption of the classified or reclassified shares of our capital stock. The terms of any stock classified or reclassified by our board of directors or a duly authorized committee thereof in accordance with our Charter will be set forth in articles supplementary filed with the State Department of Assessments and Taxation of Maryland prior to the issuance of any classified or reclassified stock.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Transfer and Ownership </w:t>
      </w:r>
    </w:p>
    <w:p>
      <w:pPr>
        <w:pStyle w:val="TextBody"/>
        <w:bidi w:val="0"/>
        <w:spacing w:before="120" w:after="0"/>
        <w:jc w:val="left"/>
        <w:rPr>
          <w:rFonts w:ascii="Times New Roman" w:hAnsi="Times New Roman"/>
          <w:sz w:val="20"/>
        </w:rPr>
      </w:pPr>
      <w:r>
        <w:rPr>
          <w:rFonts w:ascii="Times New Roman" w:hAnsi="Times New Roman"/>
          <w:sz w:val="20"/>
        </w:rPr>
        <w:t xml:space="preserve">For us to qualify as a REIT under the Internal Revenue Code of 1986, as amended (the “Code”), both of the following conditions relating to ownership of shares must be satisfied: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50% in value of our outstanding stock (after taking into account options to acquire stock) may be owned, directly or indirectly (after application of certain attribution rules), by five or fewer “individuals” (as defined under the Code to include some entities that would not ordinarily be considered “individuals”) during the last half of a taxable year;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capital stock must be beneficially owned by 100 or more persons during at least 335 days of a taxable year of 12 months or during a proportionate part of a shorter taxable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“Material United States Federal Income Tax Considerations—Classification and Taxation of The Macerich Company as a REIT.”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Charter Restricts the Ownership and Transfer of Shares of Our Capital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exceptions specified in our Charter, no stockholder may own, or be deemed to own by virtue of the attribution provisions of the Code, in excess of the lesser of 5% in value or in number of shares of our outstanding capital stock. The attribution provisions are complex and may cause stock owned directly or indirectly by a group of related individuals or entities to be deemed to be owned by one individual or entity. As a result, the acquisition of less than 5% in value or in number of shares of stock (or the acquisition of an interest in an entity which owns stock) by an individual or entity could cause that individual or entity (or another individual or entity) to be deemed to 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excess of 5% in value or in number of shares of our outstanding capital stock, and thus subject that stock to the ownership limit. Our board of directors, in its sole discretion (subject to certain limitations), may waive the ownership limit with respect to our stockholders, but is under no obligation to do so. As a condition of a waiver of the ownership limit, our board of directors may require opinions of counsel satisfactory to it or other conditions as it may direct, including an agreement from the applicant that the applicant will not act to threaten our REIT status. Our Charter excludes from the ownership limit some persons and their respective families and affiliates, but provides that no excluded participant may own (directly or indirectly) more than the excluded participant’s percentage limitation, as described below under “—Issuance of Excess Stock.” </w:t>
      </w:r>
    </w:p>
    <w:p>
      <w:pPr>
        <w:pStyle w:val="TextBody"/>
        <w:bidi w:val="0"/>
        <w:spacing w:before="240" w:after="0"/>
        <w:jc w:val="left"/>
        <w:rPr>
          <w:rFonts w:ascii="Times New Roman" w:hAnsi="Times New Roman"/>
          <w:sz w:val="20"/>
        </w:rPr>
      </w:pPr>
      <w:r>
        <w:rPr>
          <w:rFonts w:ascii="Times New Roman" w:hAnsi="Times New Roman"/>
          <w:sz w:val="20"/>
        </w:rPr>
        <w:t xml:space="preserve">Our Charter provides that any purported transfer or issuance of shares, or other event, will be null and void if it results in a “prohibited event.” The intended transferee or purported owner in a transaction that results in a prohibited event will not acquire, and will retain no rights to, or economic interest in, those shares of stock. See “—Issuance of Excess Stock”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Issuance of Excess Stock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that in the case of a prohibited event, the relevant shares of stock will automatically be exchanged for shares of excess stock, to the extent necessary to ensure that the purported transfer or other event does not result in a prohibited event. A “prohibited event” is a purported transfer of stock or other event that will, if effective, result in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owning (directly or indirectly) shares of our stock in excess of the ownership limit as determined in accordance with our Charter or owning (directly or indirectly) more than a specified percentage of our common stock as determined in accordance with our Charter (that person’s “percentage limitation”);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and preferred stock being owned by fewer than 100 persons (determined without reference to any rules of attribution);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becoming “closely held” under Section 856(h) of the Code (determined without regard to Code Section 856(h)(2) and by deleting the words “the last half of” in the first sentence of Code Section 542(a)(2) in applying Code Section 856(h));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disqualification as a REIT.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Outstanding shares of excess stock will be held in trust. The trustee of the trust will be appointed by us and will be independent of us, any purported record or beneficial transferee and any beneficiary of such trust (the “beneficiary”). The beneficiary will be one or more charitable organizations selected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Our Charter further provides that shares of excess stock are entitled to the same dividends as the shares of stock exchanged for excess stock (the “original shares”). The trustee, as record holder of the excess stock, is entitled to receive all dividends and distributions in respect of the excess stock as may be authorized by our board of directors and declared by us and will hold the dividends or distributions in trust for the benefit of the beneficiary. The trustee is also entitled to cast all votes that holders of the excess stock are entitled to cast. Shares of excess stock in the hands of the trustee will have the same voting rights as original shares. Upon our liquidation, dissolution or winding up, each share of excess stock will be entitled to receive ratably with each other share of stock of the same class or series as the original shares, the assets distributed to the holders of the class or series of stock. The trustee will distribute to the purported transferee the amounts received upon our liquidation, dissolution or winding up, but only up to the amount paid by the purported transferee, or the market price for the original shares on the date of the purported transfer, if no consideration was paid by the transferee, and subject to additional limitations and offsets set forth in our Charter. </w:t>
      </w:r>
    </w:p>
    <w:p>
      <w:pPr>
        <w:pStyle w:val="TextBody"/>
        <w:bidi w:val="0"/>
        <w:spacing w:before="240" w:after="0"/>
        <w:jc w:val="left"/>
        <w:rPr>
          <w:rFonts w:ascii="Times New Roman" w:hAnsi="Times New Roman"/>
          <w:sz w:val="20"/>
        </w:rPr>
      </w:pPr>
      <w:r>
        <w:rPr>
          <w:rFonts w:ascii="Times New Roman" w:hAnsi="Times New Roman"/>
          <w:sz w:val="20"/>
        </w:rPr>
        <w:t xml:space="preserve">If, after the purported transfer or other event resulting in an exchange of stock for shares of excess stock, dividends or distributions are paid with respect to the original shares, then the dividends or distributions will be paid to the trustee for the benefit of the beneficiary. While shares of excess stock are held in trust, excess stock may be transferred by the trustee only to a person whose ownership of the original shares will not result in a prohibited event. At the time of any permitted transfer, the shares of excess stock will be automatically exchanged for the same number of shares of the same type and class as the original shares. Our Charter contains provisions that prohibit the purported transferee of shares of excess stock from receiving in return for the transfer an amount that reflects any appreciation in the original shares during the period that the shares of excess stock were outstanding. Our Charter requires any amount received by a purported transferee, in excess of the amount permitted to be received, to be paid to the beneficiary.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Charter further provides that we may purchase, for a period of 90 days during the time the shares of excess stock are held in trust, all or any portion of the excess stock at the lesser of the price paid for the stock by the purported transferee (or if no consideration was paid, the market price at the time of such transaction) or the market price of the relevant shares on the date we, or our designee, accept the offer to purchase the shares of excess stock. The 90-day period begins on the later of the date of the prohibited transfer if the purported transferee gives notice to us of the transfer or, if no notice is given, the date our board of directors determines in good faith that a prohibited transfer has occurred.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contained in our Charter will not be automatically removed even if the REIT provisions of the Code are changed so as to no longer contain any ownership concentration limitation or if the ownership concentration limitation is increased. Amendments to our Charter generally require the affirmative vote of stockholders entitled to cast a majority of all the votes entitled to be cast on the matter. In addition to preserving our status as a REIT, the ownership limit may have the effect of precluding an acquisition of control of us without the approval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certificates representing shares of our common stock and our preferred stock bear, or will bear, a legend referring to the restrictions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All persons who own, directly or by virtue of the attribution provisions of the Code, more than 5% of our outstanding stock must file an affidavit with us containing the information specified in our Charter within 30 days after January 1 of each year. In addition, these and other significant stockholders are required, upon demand, to disclose to us in writing the information with respect to their direct, indirect and constructive ownership of shares of our capital stock that our board of directors deems necessary to comply with the provisions of the Code applicable to a REIT.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Provisions of Maryland Law and of Our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ownership limit, certain provisions of our Charter, Bylaws and the MGCL may delay, defer or prevent a change of control or other transaction in which holders of some, or a majority, of the shares of our common stock might receive a premium for their shares over the then prevailing market price of those shares or which such holders might believe to be otherwise in their best interests. The following paragraphs summarize a number of these provisions, as well as selected provisions of the MGCL.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of Director Nominations and New Business; Procedures for Special Meetings Requested by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Charter and Bylaws provide that for any stockholder proposal to be presented in connection with an annual meeting or special meeting of our stockholders, including a proposal to nominate a director, the stockholder must have given timely written notice of the proposal to our secretary. The Bylaws provide that nominations to our board of directors and the proposal of other business to be considered by stockholders at an annual meeting of stockholders may be made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our notice of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or at the direction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any stockholder who is a stockholder of record at the record date set by our board of directors for the purpose of determining stockholders entitled to vote at the annual meeting, at the time such stockholder gives the notice required by our Bylaws and at the time of the annual meeting (and any postponement or adjournment thereof), who is entitled to vote at the meeting in the election of each individual so nominated or on the proposal of other business, as the case may be, and who has complied with the advance notice procedures and other applicable requirements, including minimum and maximum time periods, set forth in our Charter and Bylaws;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proxy access provisions of our Bylaws, which allow an eligible stockholder or a qualifying group of up to 20 stockholders, owning at least 3% of our outstanding shares of common stock continuously for at least three years, to nominate up to the greater of two directors or the largest whole number that does not exceed 20% of the number of directors then serving on our board of directors for inclusion in our proxy materials, subject to complying with the requirements contained in our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Bylaws also provide that only the business specified in our notice of meeting may be brought before a special meeting of stockholders. Nominations of persons for election to our board of directors at a special meeting of stockholders at which directors are to be elected may be made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or at the direction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 stockholder who has requested that a special meeting be called for the purpose of electing directors in compliance with our Bylaws and who has supplied the information required by our Bylaws about each individual whom the stockholder proposes to nominate for election as a director;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that the special meeting has been called in accordance with our Bylaws for the purpose of electing directors, by any stockholder who is a stockholder of record at the record date set by our board of directors for the purpose of determining stockholders entitled to vote at the special meeting, at the time such stockholder gives the notice required by our Bylaws and at the time of the special meeting (and any postponement or adjournment thereof), who is entitled to vote at the meeting in the election of each individual so nominated and who has complied with the advance notice procedures and other applicable requirements, including minimum and maximum time periods, set forth in our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Bylaws also contain special procedures applicable to a special meeting of stockholders that is called by the secretary to act on any matter that may properly be considered at a meeting of stockholders at the written request of stockholders entitled to cast not less than a majority of all the votes entitled to be cast on such matter at the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Exemptions for Our Original Founders from the Maryland Business Combination Act </w:t>
      </w:r>
    </w:p>
    <w:p>
      <w:pPr>
        <w:pStyle w:val="TextBody"/>
        <w:bidi w:val="0"/>
        <w:spacing w:before="120" w:after="0"/>
        <w:jc w:val="left"/>
        <w:rPr>
          <w:rFonts w:ascii="Times New Roman" w:hAnsi="Times New Roman"/>
          <w:sz w:val="20"/>
        </w:rPr>
      </w:pPr>
      <w:r>
        <w:rPr>
          <w:rFonts w:ascii="Times New Roman" w:hAnsi="Times New Roman"/>
          <w:sz w:val="20"/>
        </w:rPr>
        <w:t xml:space="preserve">Under the MGCL,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beneficially owns, directly or indirectly, 10% or more of the voting power of the corporation’s outstanding voting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affiliate or associate of the corporation who, at any time within the two-year period immediately prior to the date in question, was the beneficial owner, directly or indirectly, of 10% or more of the voting power of the then outstanding stock of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After the five-year prohibition, any business combination between the Maryland corporation and an interested stockholder generally must be recommended by the board of directors of the corporation and approved by two super-majority stockholder votes, unless, among other conditions, the holders of the corporation’s common stock receive a minimum price, as defined by the MGCL, for their shares and the consideration is received in cash or in the same form as previously paid by the interested stockholder for its shares. None of these provisions of the MGCL will apply, however, to business combinations that are approved or exempted by the board of directors of the corporation before the time that the interested stockholder becomes an interested stockholder. Furthermore, a person is not an interested stockholder if the transaction by which he or she would otherwise have become an interested stockholder is approved in advance by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permitted by the MGCL, our Charter exempts from these provisions any business combination between us and our original founders and their respective affiliates or related persons. As a result, these persons may be able to enter into business combinations with us that may not be in the best interest of our stockholders without compliance with the super-majority vote requirements and the other provisions of the statute.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Non-Stockholder Constituencies </w:t>
      </w:r>
    </w:p>
    <w:p>
      <w:pPr>
        <w:pStyle w:val="TextBody"/>
        <w:bidi w:val="0"/>
        <w:spacing w:before="120" w:after="0"/>
        <w:jc w:val="left"/>
        <w:rPr>
          <w:rFonts w:ascii="Times New Roman" w:hAnsi="Times New Roman"/>
          <w:sz w:val="20"/>
        </w:rPr>
      </w:pPr>
      <w:r>
        <w:rPr>
          <w:rFonts w:ascii="Times New Roman" w:hAnsi="Times New Roman"/>
          <w:sz w:val="20"/>
        </w:rPr>
        <w:t xml:space="preserve">Under our Charter, for the purpose of determining our and our stockholders’ best interests with respect to a proposed business combination or other transaction involving a change of control of us, our board of directors must give due consideration to all relevant factors, including, without limitation, the interests of our employees, the economy, community and societal interests and our and our stockholders’ long-term as well as short-term interests, including the possibility that these interests may be best served by our continued independence.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Provisions of Our Charter </w:t>
      </w:r>
    </w:p>
    <w:p>
      <w:pPr>
        <w:pStyle w:val="TextBody"/>
        <w:bidi w:val="0"/>
        <w:spacing w:before="120" w:after="0"/>
        <w:jc w:val="left"/>
        <w:rPr>
          <w:rFonts w:ascii="Times New Roman" w:hAnsi="Times New Roman"/>
          <w:sz w:val="20"/>
        </w:rPr>
      </w:pPr>
      <w:r>
        <w:rPr>
          <w:rFonts w:ascii="Times New Roman" w:hAnsi="Times New Roman"/>
          <w:sz w:val="20"/>
        </w:rPr>
        <w:t xml:space="preserve">Our Charter authorizes our board of directors to classify and reclassify unissued shares of our stock and issue one or more classes or series of common stock or preferred stock and authorizes the creation and issuance of rights entitling holders thereof to purchase from us shares of stock or other securities or property.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Control Share Acquisitions </w:t>
      </w:r>
    </w:p>
    <w:p>
      <w:pPr>
        <w:pStyle w:val="TextBody"/>
        <w:bidi w:val="0"/>
        <w:spacing w:before="120" w:after="0"/>
        <w:jc w:val="left"/>
        <w:rPr>
          <w:rFonts w:ascii="Times New Roman" w:hAnsi="Times New Roman"/>
          <w:sz w:val="20"/>
        </w:rPr>
      </w:pPr>
      <w:r>
        <w:rPr>
          <w:rFonts w:ascii="Times New Roman" w:hAnsi="Times New Roman"/>
          <w:sz w:val="20"/>
        </w:rPr>
        <w:t xml:space="preserve">The MGCL provides that the acquirer of certain levels of voting power in electing directors of a Maryland corporation (one-tenth or more, but less than one-third, one-third or more but less than a majority, and a majority or more) is not entitled to vote the shares in excess of the applicable threshold unless voting rights for the shares are approved at a meeting by holders of two-thirds of the votes entitled to be cast on the matter, excluding shares of stock owned by the acquiror or by an officer or director of the corporation who is an employee of the corporation, or unless the acquisition of the shares has been specifically or generally approved or exempted from the statute by a provision in the corporation’s charter or bylaws adopted before the acquisition of the shares. Our Charter exempts from these provisions voting rights of shares owned or acquired by our original founders and their respective affiliates and related persons. Our Bylaws also contain a provision exempting from this statute any acquisition by any person of shares of our stock. There can be no assurance that such provision will not be amended or eliminated at any time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Subtitle 8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approved a resolution prohibiting us from unilaterally electing to be subject to the provisions of Sections 3-803, 3-804 and 3-805 of Subtitle 8 of Title 3 of the MGCL (“Subtitle 8”). Subtitle 8 permits a Maryland corporation with a class of equity securities registered under the Exchange Act and at least three independent directors to elect, without any stockholder vote or other action and notwithstanding any contrary provision in its charter or bylaws, to be subject to any or all of the following five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3-803—requiring classification of the board of directors into three classes;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3-804(a)—requiring that stockholders may remove any director by the affirmative vote of at least two- thirds of all the votes entitled to be cast by the stockholders generally in the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3-804(b)— requiring that the number of directors be fixed only by vote of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3-804(c)—requiring that any vacancy on the board of directors be filled only by the affirmative vote of a majority of the remaining directors in office for the remainder of the full term of the class of directors in which the vacancy occurred and until a successor is elected and qualifies;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3-805—requiring that a special meeting of stockholders may be called only upon the written request of stockholders entitled to cast at least a majority of all the votes entitled to be cast at the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Following our board of directors’ resolution, we supplemented our Charter to provide that we are prohibited from electing to be subject to any of the foregoing provisions, and such prohibition may not be repealed unless a proposal to repeal such prohibition with respect to any such section is approved by the affirmative vote of a majority of the votes cast on the matter by stockholders entitled to vote generally in the election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Amendment to Our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Except for those amendments permitted to be made without stockholder approval under the MGCL or by specific provision in our Charter, amendments to our Charter must be declared advisable by our board of directors and approved by the affirmative vote of stockholders entitled to cast a majority of all the votes entitled to be cast on the matter. Any amendment to our Charter related to the (i) removal of directors, (ii) vote required to approve any extraordinary transaction </w:t>
      </w:r>
      <w:r>
        <w:rPr>
          <w:rFonts w:ascii="Times New Roman" w:hAnsi="Times New Roman"/>
          <w:i/>
          <w:sz w:val="20"/>
        </w:rPr>
        <w:t>(i.e.</w:t>
      </w:r>
      <w:r>
        <w:rPr>
          <w:rFonts w:ascii="Times New Roman" w:hAnsi="Times New Roman"/>
          <w:sz w:val="20"/>
        </w:rPr>
        <w:t xml:space="preserve">, merger, statutory share exchange, consolidation, conversion and sale of all or substantially all of our assets or any other transaction (other than dissolution) that requires stockholder approval under Maryland law by a vote of at least two-thirds of all the votes entitled to be cast on the matter) or (iii) amendment provision in our Charter relating to these matters requires the affirmative vote of stockholders entitled to cast two-thirds of all the votes entitled to be cast on the matter. </w:t>
      </w:r>
    </w:p>
    <w:p>
      <w:pPr>
        <w:pStyle w:val="TextBody"/>
        <w:bidi w:val="0"/>
        <w:spacing w:before="240" w:after="0"/>
        <w:jc w:val="left"/>
        <w:rPr>
          <w:rFonts w:ascii="Times New Roman" w:hAnsi="Times New Roman"/>
          <w:sz w:val="20"/>
        </w:rPr>
      </w:pPr>
      <w:r>
        <w:rPr>
          <w:rFonts w:ascii="Times New Roman" w:hAnsi="Times New Roman"/>
          <w:sz w:val="20"/>
        </w:rPr>
        <w:t xml:space="preserve">Our Bylaws provide that, with the exception of provisions in our Bylaws relating to (i) the indemnification of our present and former directors and officers and (ii) the amendment of our Bylaws, which provisions may not be amended without the approval of our board of directors, our Bylaws may be altered or repealed or new bylaw provisions may be adopted, in each case to the extent permitted by, and consistent with, our Charter, our Bylaws and applicable law, by the affirmative vote of a majority of all the votes entitled to be cast on the matter pursuant to a proposal submitted for approval at a duly called annual meeting or special meeting of stockholders. Our board of directors may also adopt, alter or repeal any provision of our Bylaws or make new Bylaws.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Board of Directors; Election; Removal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currently consists of eight directors. Our Charter provides that the number of directors on our board of directors is fixed pursuant to our Bylaws, but may not be fewer than the minimum required by the MGCL, which is one. Our Bylaws provide that our board of directors must consist of not less than one and not more than twelve directors. </w:t>
      </w:r>
    </w:p>
    <w:p>
      <w:pPr>
        <w:pStyle w:val="TextBody"/>
        <w:bidi w:val="0"/>
        <w:spacing w:before="240" w:after="0"/>
        <w:jc w:val="left"/>
        <w:rPr>
          <w:rFonts w:ascii="Times New Roman" w:hAnsi="Times New Roman"/>
          <w:sz w:val="20"/>
        </w:rPr>
      </w:pPr>
      <w:r>
        <w:rPr>
          <w:rFonts w:ascii="Times New Roman" w:hAnsi="Times New Roman"/>
          <w:sz w:val="20"/>
        </w:rPr>
        <w:t xml:space="preserve">Our Charter and Bylaws provide that directors are required to be elected by the affirmative vote of a majority of all the votes cast on the matter at a meeting at which a quorum is present.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rights of holders of any series of preferred stock, our Charter and Bylaws provide that a director may be removed only for cause and then only by the affirmative vote of the holders of shares of stock entitled to cast at least two-thirds of the votes entitled to be cast generally in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Dissolution </w:t>
      </w:r>
    </w:p>
    <w:p>
      <w:pPr>
        <w:pStyle w:val="TextBody"/>
        <w:bidi w:val="0"/>
        <w:spacing w:before="120" w:after="0"/>
        <w:jc w:val="left"/>
        <w:rPr>
          <w:rFonts w:ascii="Times New Roman" w:hAnsi="Times New Roman"/>
          <w:sz w:val="20"/>
        </w:rPr>
      </w:pPr>
      <w:r>
        <w:rPr>
          <w:rFonts w:ascii="Times New Roman" w:hAnsi="Times New Roman"/>
          <w:sz w:val="20"/>
        </w:rPr>
        <w:t xml:space="preserve">Our dissolution must be approved by our board of directors and by the affirmative vote of not less than a majority of all of the votes entitled to be cast on the matter.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Supermajority Vote for Extraordinary Corporate Actions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MGCL, a Maryland corporation generally cannot dissolve, amend its charter, merge, convert into another entity, sell all or substantially all of its assets, or engage in a statutory share exchange or in a similar extraordinary corporate action unless approved by the corporation’s board of directors and the affirmative vote of holders of at least two-thirds of the votes entitled to be cast on the matter, unless a lesser percentage (but not less than a majority of all of the votes entitled to be cast on the matter) is set forth in the corporation’s charter. Except for Article Seventh and Article Ninth of our Charter, which provide that amendments to our Charter (except for certain instances) and dissolution must be approved by the vote of holders of a majority of our outstanding shares of common stock entitled to vote on the matter, our Charter does not provide for a lesser percentage in these situations.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unless our board of directors agrees otherwise, (i) any derivative action or proceeding brought on our behalf, (ii) any action asserting a claim of breach of any duty owed by any of our directors, officers or other employees to us or our stockholders, (iii) any action asserting a claim against us or any of our directors, officers or other employees pursuant to the MGCL, or our Charter or Bylaws and (iv) claims governed by the internal affairs doctrine must be brought in the Circuit Court for Baltimore City, Maryland (or if that court does not have jurisdiction, the United States District Court for the District of Maryland, Baltimore Division).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tx158325_9"/>
      <w:bookmarkEnd w:id="10"/>
      <w:r>
        <w:rPr>
          <w:rFonts w:ascii="Times New Roman" w:hAnsi="Times New Roman"/>
          <w:b/>
          <w:sz w:val="20"/>
        </w:rPr>
        <w:t xml:space="preserve">DESCRIPTION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our Charter regarding excess stock (as described above), each outstanding share of common stock entitles the holder to one vote on all matters submitted to a vote of stockholders, including the election of directors, and, except as may be provided with respect to any other class or series of our stock, the holders of shares of our common stock possess the exclusive voting power. Subject to the provisions of our Charter regarding excess stock and the rights of any holders of preferred stock, holders of our common stock are entitled to receive the dividends authorized by our board of directors and declared by us out of funds legally available for this purpose. Upon our liquidation, dissolution or winding up and after payment in full of all amounts required to be paid to creditors and to the holders of any outstanding shares of any other class or series of stock having liquidation preferences, if any, the assets legally available for distribution to holders of our common stock will be distributed ratably among the holders of our common stock. Holders of our common stock have no preemptive or other subscription or conversion rights. See “Description of Our Capital Stock—Selected Provisions of Maryland Law and of Our Charter and Bylaws.” Our common stock is not subject to assessment. </w:t>
      </w:r>
    </w:p>
    <w:p>
      <w:pPr>
        <w:pStyle w:val="TextBody"/>
        <w:bidi w:val="0"/>
        <w:spacing w:before="24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w:t>
      </w:r>
    </w:p>
    <w:p>
      <w:pPr>
        <w:pStyle w:val="TextBody"/>
        <w:bidi w:val="0"/>
        <w:spacing w:before="240" w:after="0"/>
        <w:jc w:val="left"/>
        <w:rPr>
          <w:rFonts w:ascii="Times New Roman" w:hAnsi="Times New Roman"/>
          <w:sz w:val="20"/>
        </w:rPr>
      </w:pPr>
      <w:r>
        <w:rPr>
          <w:rFonts w:ascii="Times New Roman" w:hAnsi="Times New Roman"/>
          <w:sz w:val="20"/>
        </w:rPr>
        <w:t xml:space="preserve">Under the MGCL and our Bylaws, stockholders are entitled to receive prior notice of our annual and special meetings of stockholders. Notice is given to a stockholder when it is personally delivered to him or her, left at his or her residence or usual place of business, mailed to him or her at his or her address as it appears on our records or transmitted to him or her by electronic mail or other electronic means or by any other means permitted by Maryland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tx158325_10"/>
      <w:bookmarkEnd w:id="11"/>
      <w:r>
        <w:rPr>
          <w:rFonts w:ascii="Times New Roman" w:hAnsi="Times New Roman"/>
          <w:b/>
          <w:sz w:val="20"/>
        </w:rPr>
        <w:t xml:space="preserve">DESCRIPTION OF OUR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Under our Charter, we may issue shares of preferred stock from time to time, in one or more series as authorized by our board of directors. Prior to issuance of shares of each class or series, our board of directors is required by the MGCL to adopt resolutions and file Articles Supplementary with the State Department of Assessments and Taxation of Maryland, fixing for each class or series the designations, powers, preferences, conversion and other rights, voting powers, qualifications, limitations as to dividends, restrictions and terms and conditions of redemption. Our board of directors could authorize the issuance of shares of preferred stock with terms and conditions which could have the effect of delaying, deferring or preventing a change of control or other transaction in which holders of some, or a majority, of the shares of our common stock might receive a premium for their shares over the then prevailing market price of those shares or which such holders might believe to be otherwise in their best interests. The preferred stock will, when issued, be fully paid and nonassessable and will not have, or be subject to, any preemptive or similar rights. The terms of any preferred stock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the class or series of preferred stock offered by that supplement will describe the specific terms of those securities,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that preferred stock offered, the liquidation preference per share and the offering price of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and/or payment dates or methods of calculation thereof applicable to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on that preferred stock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applicable to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for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for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if applicable, of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that preferred stock on any securities exchange; the terms and conditions, if applicable, upon which that preferred stock will be convertible into shares of common stock, including the conversion price (or manner of calculation of the conversion price) and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that preferred stock; any limitations on issuance of any class or series of preferred stock ranking senior to or on a parity with that class or series of preferred stock as to dividend rights and rights upon our liquidation, dissolution or winding 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those limitations described elsewhere in this prospectus and any prospectus supplement, any other limitations on actual and constructive ownership and restrictions on transfer, in each case as may be appropriate to preserve our status as a REIT;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that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Rank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the applicable prospectus supplement, the preferred stock will, with respect to dividend rights and rights upon our liquidation, dissolution or winding up, rank: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all classes or series of common stock and to all equity securities issued by us the terms of which expressly provide that those equity securities rank junior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parity with all equity securities issued by us the terms of which so provide or which do not expressly provide that those equity securities rank junior or senior to the preferred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all equity securities issued by us the terms of which expressly provide that those equity securities rank senior to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“equity securities” does not include convertible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Holders of shares of our preferred stock will be entitled to receive, when, as and if authorized by our board of directors and declared by us, out of our assets legally available for payment, cash dividends at rates and on dates as will be set forth in the applicable prospectus supplement. Each dividend will be payable to holders of record as they appear on our stock transfer books on the record dates as may be fixed by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Dividends on any series or class of our preferred stock may be cumulative or noncumulative, as provided in the applicable prospectus supplement. Dividends, if cumulative, will be cumulative from and after the date set forth in the applicable prospectus supplement. If our board of directors fails to authorize a dividend payable on a dividend payment date on any series or class of preferred stock for which dividends are noncumulative, then the holders of that series or class of preferred stock will have no right to receive a dividend in respect of the dividend period ending on that dividend payment date, and we will have no obligation to pay the dividend accrued for that period, whether or not dividends on such series or class are declared or paid for any future period.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the following paragraph, unless full cumulative dividends on the preferred stock of that series or class have been or contemporaneously are authorized and paid or authorized and a sum sufficient for that payment is set apart for payment for all past dividend periods, no dividends (other than in the common stock or other stock of ours ranking junior to the preferred stock of that series or class as to dividends and upon liquidation) may be authorized or paid or set aside for payment nor may any other distribution be authorized or made on the common stock or any other stock of ours ranking junior to or on a parity with the preferred stock of that series or class as to dividends or upon liquidation. In addition, common stock or any other stock of ours ranking junior to or on a parity with the preferred stock of that series or class as to dividends or upon liquidation may not be redeemed, purchased or otherwise acquired for any consideration (or any amounts be paid to or made available for a sinking fund for the redemption of any shares of any such stock) by us (except by conversion into or exchange for other stock of ours ranking junior to the preferred stock of that series or class as to dividends and upon liquidation). </w:t>
      </w:r>
    </w:p>
    <w:p>
      <w:pPr>
        <w:pStyle w:val="TextBody"/>
        <w:bidi w:val="0"/>
        <w:spacing w:before="240" w:after="0"/>
        <w:jc w:val="left"/>
        <w:rPr>
          <w:rFonts w:ascii="Times New Roman" w:hAnsi="Times New Roman"/>
          <w:sz w:val="20"/>
        </w:rPr>
      </w:pPr>
      <w:r>
        <w:rPr>
          <w:rFonts w:ascii="Times New Roman" w:hAnsi="Times New Roman"/>
          <w:sz w:val="20"/>
        </w:rPr>
        <w:t xml:space="preserve">When dividends for all past dividend periods are not paid in full (or a sum sufficient for the full payment is not set apart) upon the shares of preferred stock of any series or class and the shares of any other series or class of preferred stock ranking on a parity as to dividends with the preferred stock of that series or class, then all dividends authorized on shares of preferred stock of that series or class and any other series or class of preferred stock ranking on a parity as to dividends with that series or class of preferred stock will be authorized pro rata, so that the amount of dividends authorized per share on the preferred stock of that series or class and such other series or class of preferred stock will in all cases bear to each other the same ratio that accrued dividends per share on the shares of preferred stock of that series or class (which will not include any accumulation in respect of unpaid dividends for prior dividend periods if the preferred stock does not have a cumulative dividend) and that other series or class of preferred stock bear to each other. No interest, or sum of money in lieu of interest, will be payable in respect of any dividend payment or payments on preferred stock of that series or class that may be in arrears. </w:t>
      </w:r>
    </w:p>
    <w:p>
      <w:pPr>
        <w:pStyle w:val="TextBody"/>
        <w:bidi w:val="0"/>
        <w:spacing w:before="240" w:after="0"/>
        <w:jc w:val="left"/>
        <w:rPr>
          <w:rFonts w:ascii="Times New Roman" w:hAnsi="Times New Roman"/>
          <w:sz w:val="20"/>
        </w:rPr>
      </w:pPr>
      <w:r>
        <w:rPr>
          <w:rFonts w:ascii="Times New Roman" w:hAnsi="Times New Roman"/>
          <w:sz w:val="20"/>
        </w:rPr>
        <w:t xml:space="preserve">Any dividend payment made on shares of a series or class of preferred stock will first be credited against the earliest accrued but unpaid dividend due with respect to shares of that series or class that remains payable.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a distribution by dividend, redemption or other acquisition of stock or otherwise is permitted under the MGCL, amounts that would be needed, if we were to be dissolved at the time of the distribution, to satisfy the preferential rights upon dissolution of stockholders whose preferential rights on dissolution are superior to those receiving the distribution will not be added to our total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If the applicable prospectus supplement so states, the shares of preferred stock will be subject to mandatory redemption or redemption at our option, in whole or in part, in each case on the terms, at the times and at the redemption prices set forth in that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 series or class of preferred stock that is subject to mandatory redemption will specify the number of shares of that preferred stock that are to or may be redeemed by us in each year commencing after a date to be specified, at a redemption price per share to be specified, together with an amount equal to all accumulated and unpaid dividends on that preferred stock (which will not, if that preferred stock does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stock of any series or class is payable only from the net proceeds of the issuance of our stock, the terms of that preferred stock may provide that, if no such stock shall have been issued or to the extent the net proceeds from any issuance are insufficient to pay in full the aggregate redemption price then due, that preferred stock will automatically and mandatorily be converted into shares of our applicable stock pursuant to conversion provisions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unless full cumulative dividends on all outstanding shares of that series or class of preferred stock have been or contemporaneously are authorized and paid or authorized and a sum sufficient for that payment is set apart for payment for all past dividend periods, we may not redeem any shares of that series or class of preferred stock unless all outstanding shares of preferred stock of that series or class are simultaneously redeemed and may not purchase or otherwise acquire directly or indirectly any shares of preferred stock of that series or class (except by conversion into or exchange for our stock ranking junior to the preferred stock of that series or class as to dividends and upon liquidation). However, this will not prevent the purchase or acquisition of shares of preferred stock of that series or class to preserve our REIT status or pursuant to a purchase or exchange offer made on the same terms to holders of all outstanding shares of preferred stock of that series or class. </w:t>
      </w:r>
    </w:p>
    <w:p>
      <w:pPr>
        <w:pStyle w:val="TextBody"/>
        <w:bidi w:val="0"/>
        <w:spacing w:before="240" w:after="0"/>
        <w:jc w:val="left"/>
        <w:rPr>
          <w:rFonts w:ascii="Times New Roman" w:hAnsi="Times New Roman"/>
          <w:sz w:val="20"/>
        </w:rPr>
      </w:pPr>
      <w:r>
        <w:rPr>
          <w:rFonts w:ascii="Times New Roman" w:hAnsi="Times New Roman"/>
          <w:sz w:val="20"/>
        </w:rPr>
        <w:t xml:space="preserve">If fewer than all of the outstanding shares of preferred stock of any series or class are to be redeemed, the number of shares to be redeemed will be determined by us, and those shares may be redeemed pro rata from the holders of record of those shares in proportion to the number of those shares held by those holders (with adjustments to avoid redemption of fractional shares) or any other equitable method determined by us. </w:t>
      </w:r>
    </w:p>
    <w:p>
      <w:pPr>
        <w:pStyle w:val="TextBody"/>
        <w:bidi w:val="0"/>
        <w:spacing w:before="240" w:after="0"/>
        <w:jc w:val="left"/>
        <w:rPr>
          <w:rFonts w:ascii="Times New Roman" w:hAnsi="Times New Roman"/>
          <w:sz w:val="20"/>
        </w:rPr>
      </w:pPr>
      <w:r>
        <w:rPr>
          <w:rFonts w:ascii="Times New Roman" w:hAnsi="Times New Roman"/>
          <w:sz w:val="20"/>
        </w:rPr>
        <w:t xml:space="preserve">Each notice of redemption will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and series of the preferred stock to be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certificates for the preferred stock are to be surrendered for payment of 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dividends on the shares to be redeemed will cease to accrue on the redemption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upon which the holder’s conversion rights, if any, as to the shares will terminate.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fewer than all the shares of preferred stock of any series are to be redeemed, the notice mailed to each holder will also specify the number of shares of preferred stock to be redeemed from each holder. If notice of redemption of any shares of preferred stock has been given, and if the funds necessary for that redemption have been irrevocably set apart by us in trust for the benefit of the holders of any shares of preferred stock so called for redemption, then from and after the redemption date, dividends will cease to accrue on those shares of preferred stock, those shares of preferred stock will no longer be deemed outstanding and all rights of the holders of those shares will terminate, except the right to receive the redemption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Upon our voluntary or involuntary liquidation, dissolution or winding up, then, before we will make any distribution or payment to the holders of common stock or any other series or class of stock ranking junior to any series or class of the preferred stock in the distribution of assets upon any liquidation, dissolution or winding up, the holders of that series or class of preferred stock will be entitled to receive, after payment or provision for payment of our debts and other liabilities and amounts due to stockholders whose preferential rights are senior to those of that series or class of preferred stock, out of our assets legally available for distribution to stockholders, liquidating distributions in the amount of the liquidation preference per share (set forth in the applicable prospectus supplement), plus an amount equal to all dividends accrued and unpaid on the preferred stock (which will not include any accumulation in respect of unpaid dividends for prior dividend periods if the preferred stock does not have a cumulative dividend). After payment of the full amount of the liquidating distributions to which they are entitled, the holders of preferred stock will have no right or claim to any of our remaining assets. </w:t>
      </w:r>
    </w:p>
    <w:p>
      <w:pPr>
        <w:pStyle w:val="TextBody"/>
        <w:bidi w:val="0"/>
        <w:spacing w:before="240" w:after="0"/>
        <w:jc w:val="left"/>
        <w:rPr>
          <w:rFonts w:ascii="Times New Roman" w:hAnsi="Times New Roman"/>
          <w:sz w:val="20"/>
        </w:rPr>
      </w:pPr>
      <w:r>
        <w:rPr>
          <w:rFonts w:ascii="Times New Roman" w:hAnsi="Times New Roman"/>
          <w:sz w:val="20"/>
        </w:rPr>
        <w:t xml:space="preserve">If, upon any voluntary or involuntary liquidation, dissolution or winding up, our legally available assets are insufficient to pay the amount of the liquidating distributions on all outstanding shares of any series or class of preferred stock and the corresponding amounts payable on all shares of other classes or series of our stock ranking on a parity with that series or class of preferred stock in the distribution of assets upon liquidation, dissolution or winding up, then the holders of that series or class of preferred stock and all other such classes or series of stock will share ratably in any distribution of assets in proportion to the full liquidating distributions to which they would otherwise be respectively entitled. </w:t>
      </w:r>
    </w:p>
    <w:p>
      <w:pPr>
        <w:pStyle w:val="TextBody"/>
        <w:bidi w:val="0"/>
        <w:spacing w:before="240" w:after="0"/>
        <w:jc w:val="left"/>
        <w:rPr>
          <w:rFonts w:ascii="Times New Roman" w:hAnsi="Times New Roman"/>
          <w:sz w:val="20"/>
        </w:rPr>
      </w:pPr>
      <w:r>
        <w:rPr>
          <w:rFonts w:ascii="Times New Roman" w:hAnsi="Times New Roman"/>
          <w:sz w:val="20"/>
        </w:rPr>
        <w:t xml:space="preserve">If liquidating distributions have been made in full to all holders of any series or class of preferred stock, we will distribute our remaining assets among the holders of any other classes or series of stock ranking junior to that series or class of preferred stock upon liquidation, dissolution or winding up, according to their respective rights and preferences and in each case according to their respective number of shares. For these purposes, none of the following will be deemed to constitute a liquidation, dissolution or winding up of our affairs: (i) a consolidation, merger or other business combination of our Company with one or more corporations, REITs or other entities, (ii) our dissolution, liquidation, winding up, or reorganization immediately followed by incorporation of another entity to which such assets are distributed, (iii) a sale, lease, conveyance or other disposition of all or substantially all of our assets, properties or business to another entity or (iv) a statutory share exchange by us.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preferred stock will not have any voting rights, except as set forth below or as indicated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provided otherwise for any series or class of preferred stock, so long as any shares of preferred stock of a series or class remain outstanding, we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the affirmative vote or consent of the holders of at least a majority of the shares outstanding at that time of that series or class of preferred stock (voting as a single class with all other series or classes of preferred stock upon which like voting rights have been conferred and are exercisable), given in person or by proxy, either in writing or at a meeting, authorize or create, or increase the authorized or issued amount of, any class or series of stock ranking senior to that series or class of preferred stock with respect to payment of dividends or the distribution of assets upon liquidation, dissolution or winding up or reclassify any authorized stock into any of those shares, or create, authorize or issue any obligation or security convertible into or evidencing the right to purchase any of those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the affirmative vote or consent of the holders of at least a majority of the shares outstanding at that time of that series or class of preferred stock (voting as a single class with any other series or classes of preferred stock upon which like voting rights have been conferred and are exercisable), given in person or by proxy, either in writing or at a meeting, amend, alter or repeal the provisions of our Charter or articles supplementary for such series or class of preferred stock so as to materially and adversely alter or change the rights, preferences or privileges of that series or class of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However, no such vote or consent is required in connection with (i) any increase in the total number of our authorized shares; (ii) the authorization or increase of any class or series of shares of stock ranking, as to distribution rights and liquidation preference, on a parity with or junior to that series or class of preferred stock; (iii) any merger or consolidation in which we are the surviving entity if, immediately after the merger or consolidation, there are outstanding no shares of stock and no securities convertible into shares of stock ranking as to distribution rights or liquidation preference senior to that series or class of preferred stock other than our securities outstanding prior to such merger or consolidation; (iv) any merger or consolidation in which we are not the surviving entity if, as result of the merger or consolidation, the holders of that series or class of preferred stock receive shares of stock or other equity securities with preferences, rights and privileges substantially identical with the preferences, rights and privileges of that series or class of preferred stock and there are outstanding no shares of stock or stock or other equity securities of the surviving entity ranking as to distribution rights or liquidation preference senior to that series or class of preferred stock other than our securities outstanding prior to such merger or consolidation; or (v) our dissolution, liquidation or winding up. </w:t>
      </w:r>
    </w:p>
    <w:p>
      <w:pPr>
        <w:pStyle w:val="TextBody"/>
        <w:bidi w:val="0"/>
        <w:spacing w:before="240" w:after="0"/>
        <w:jc w:val="left"/>
        <w:rPr>
          <w:rFonts w:ascii="Times New Roman" w:hAnsi="Times New Roman"/>
          <w:sz w:val="20"/>
        </w:rPr>
      </w:pPr>
      <w:r>
        <w:rPr>
          <w:rFonts w:ascii="Times New Roman" w:hAnsi="Times New Roman"/>
          <w:sz w:val="20"/>
        </w:rPr>
        <w:t xml:space="preserve">These voting provisions will not apply if, at or prior to the time when the act with respect to which that vote would otherwise be required will be effected, all outstanding shares of that series or class of preferred stock have been redeemed or called for redemption upon proper notice and (i) sufficient funds have been deposited in trust to effect that redemption or (ii) in a case involving an issuance of stock ranking senior to such series or class of preferred stock, the redemption price (other than any portion thereof consisting of accrued and unpaid dividends) is to be paid solely from the proceeds of such issuance.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The terms and conditions, if any, upon which shares of any series or class of preferred stock are convertible into shares of common stock will be set forth in the applicable prospectus supplement. The terms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into which the preferred stock is convertible;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price (or manner of calculation of the conversion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as to whether conversion will be at our option or the option of the holders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events requiring an adjustment of the conversion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affecting conversion in the event of the redemption of the preferred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Transfer Agent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any series or class of preferred stock will be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tx158325_11"/>
      <w:bookmarkEnd w:id="12"/>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depositary shares that we may offer under this prospectus. While the terms we have summarized below will generally apply to any depositary shares we may offer under this prospectus, we will describe the particular terms of any depositary shares that we may offer in more detail in the applicable prospectus supplement. The terms of any depositary shares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receipts for depositary shares, each of which will represent a fractional interest of a share of a particular series of preferred stock, as specified in the applicable prospectus supplement. The shares of preferred stock of each series represented by depositary shares will be deposited under a separate deposit agreement among us, the depositary named in the deposit agreement, and the holders of the depositary receipts. Immediately following our issuance and delivery of the preferred stock to the depositary, we will cause the depositary to issue, on our behalf, the depositary receipts. Subject to the terms of the applicable depositary agreement, each owner of a depositary receipt will be entitled, in proportion to the fractional interest of a share of a particular series of preferred stock represented by the depositary shares evidenced by the depositary receipts, to all the rights and preferences of preferred stock represented by the depositary shares, including dividend, voting, conversion, redemption and liquidation rights, in each case as designated by our board of directors and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depositary shares we may issue does not purport to be complete and is subject to, and is qualified in its entirety by reference to, all the provisions of the deposit agreement and the depositary receipts applicable to the particular depositary shares. We urge you to read the applicable prospectus supplements related to the depositary shares that we sell under this prospectus, as well as the complete deposit agreement and depositary receipts that contain the terms of the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distribute all cash dividends or other cash distributions received with respect to the shares of the applicable series of the preferred stock proportionately to the record holders of the depositary receipts entitled to receive the distribution. Such distributions are subject to certain obligations of holders to file proofs, certificates and other information and to pay certain charges and expenses to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non-cash distribution, the depositary will distribute property it receives to the record holders of depositary receipts entitled to the property unless the depositary determines that it cannot be made proportionately or it is not feasible to make such distribution, in which case the depositary may, with our approval, sell such property and distribute the net proceeds of such sale to holders of the depositary receipts entitled to receive the distribution. Such distributions by the depositary are subject to certain obligations of holders to file proofs, certificates, and other information and to pay certain charges and expenses to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of Shares </w:t>
      </w:r>
    </w:p>
    <w:p>
      <w:pPr>
        <w:pStyle w:val="TextBody"/>
        <w:bidi w:val="0"/>
        <w:spacing w:before="120" w:after="0"/>
        <w:jc w:val="left"/>
        <w:rPr>
          <w:rFonts w:ascii="Times New Roman" w:hAnsi="Times New Roman"/>
          <w:sz w:val="20"/>
        </w:rPr>
      </w:pPr>
      <w:r>
        <w:rPr>
          <w:rFonts w:ascii="Times New Roman" w:hAnsi="Times New Roman"/>
          <w:sz w:val="20"/>
        </w:rPr>
        <w:t xml:space="preserve">Unless the related depositary shares have been called previously for redemption, upon surrender of the depositary receipts at the corporate trust office of the depositary, the holders thereof will be entitled to delivery at such office, to or upon such holder’s order, of the number of whole or fractional shares of preferred stock and any money or other property represented by the depositary shares evidenced by such depositary receipts. Holders of depositary receipts will be entitled to receive whole or fractional shares of the related preferred stock on the basis of the proportion of preferred stock represented by each depositary share as specified in the applicable prospectus supplement, but holders of such preferred stock will not thereafter be entitled to receive depositary shares therefor. If the depositary receipts delivered by the holder evidence a number of depositary shares in excess of the number of depositary shares representing the preferred stock to be withdrawn, the depositary will deliver to such holder at the same time a new depositary receipt evidencing such excess number of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Whenever we redeem preferred stock held by the depositary, the depositary will redeem as of the same redemption date the number of depositary shares representing the preferred stock so redeemed, provided we have paid in full to the depositary the redemption price of the preferred stock to be redeemed plus an amount equal to any accrued and unpaid dividends thereon to the date fixed for redemption. With respect to noncumulative preferred stock, dividends will be paid for the current dividend period only. The redemption price per depositary share will be equal to the redemption price and any other amounts per share payable with respect to the preferred stock. If less than all the depositary shares are to be redeemed, the depositary shares to be redeemed will be selected pro rata or by any other equitable method determined by us. </w:t>
      </w:r>
    </w:p>
    <w:p>
      <w:pPr>
        <w:pStyle w:val="TextBody"/>
        <w:bidi w:val="0"/>
        <w:spacing w:before="240" w:after="0"/>
        <w:jc w:val="left"/>
        <w:rPr>
          <w:rFonts w:ascii="Times New Roman" w:hAnsi="Times New Roman"/>
          <w:sz w:val="20"/>
        </w:rPr>
      </w:pPr>
      <w:r>
        <w:rPr>
          <w:rFonts w:ascii="Times New Roman" w:hAnsi="Times New Roman"/>
          <w:sz w:val="20"/>
        </w:rPr>
        <w:t xml:space="preserve">After the date fixed for redemption, the depositary shares called for redemption will no longer be deemed to be outstanding and all rights of the holders of the depositary receipts evidencing the depositary shares called for redemption will cease. However, the holders will have the right to receive any moneys payable upon redemption and any money or other property that the holders of such depositary receipts were entitled to at the time of redemption when they surrender their depositary receipts to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Upon receipt of notice of any meeting at which the holders of the preferred stock are entitled to vote, the depositary will mail the information contained in such notice to the record holders of the depositary receipts related to such preferred stock. Each record holder of depositary receipts on the record date will be entitled to instruct the depositary as to the exercise of the voting rights of the preferred stock related to such holder’s depositary receipts. The record date for depositary receipts will be the same date as the record date for preferred stock. The depositary will vote the preferred stock related to such depositary receipts in accordance with such instructions, and we will agree to take all reasonable action that the depositary deems necessary to enable it to vote the preferred stock. The depositary will abstain from voting the preferred stock represented by such depositary shares to the extent it does not receive specific instructions from the holders of depositary receipts.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winding-up, whether voluntary or involuntary, each holder of a depositary receipt will be entitled to the fraction of the liquidation preference accorded the preferred stock represented by the depositary share evidenced by such depositary receipt, as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shares, as such, are not convertible into or exchangeable for common stock or any other securities or property. Nevertheless, if so specified in the applicable prospectus supplement relating to an offering of depositary shares, the depositary receipts may be surrendered by holders thereof to the depositary with written instructions to the depositary to instruct us to cause conversion or exchange of the preferred stock represented by the depositary shares into whole common stock, other preferred stock or other securities or property. Upon receipt of such instructions and any amounts payable in respect thereof, we will cause the conversion or exchange thereof utilizing the same procedures as those provided for delivery of preferred stock to effect such conversion or exchange. If the depositary shares evidenced by a depositary receipt are to be converted or exchanged in part only, one or more new depositary receipts will be issued for any depositary shares not to be converted or exchanged. No fractional shares will be issued upon conversion or exchange. If conversion or exchange would otherwise result in a fractional share being issued, we will pay in cash an amount equal to the value of the fractional interest based upon the closing price of the shares on the last business day prior to the conversion or exchange.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Termination of the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form of depositary receipt evidencing the depositary shares which represent the preferred stock and any provision of the deposit agreement may at any time be amended by agreement between the depositary and us. However, any amendment that materially and adversely alters the rights of the holders of depositary receipts will not be effective unless it has been approved by the existing holders of at least a majority of the depositary shares evidenced by outstanding depositary receipts.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terminate the deposit agreement if (1) such termination is to preserve our status as a REIT or (2) a majority of each class of preferred stock affected by such termination consents to such termination. Upon termination of the deposit agreement, the depositary shall deliver or make available to each holder of depositary receipts, upon surrender of the depositary receipts held by such holder, such number of whole or fractional shares of preferred stock as are represented by the depositary shares evidenced by such depositary receipts. In addition, the deposit agreement will automatically terminate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depositary shares have been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a final distribution in respect of the related share of preferred stock in connection with any liquidation, dissolution, or winding-up and such distribution has been distributed to the holders of depositary receipts evidencing the depositary shares representing such preferred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related preferred stock shall have been converted into capital stock that is not represented by depositary shares.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Fees of Depositary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transfer and other taxes and governmental charges arising solely from the existence of the deposit agreement. In addition, we will pay the fees and expenses of the depositary in connection with the performance of its duties under the deposit agreement. However, holders of depositary receipts will pay the depositary’s fees and expenses for any duties that holders request to be performed which are outside those expressly provided for in the deposit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and Removal of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may resign at any time by delivering to us notice of its resignation, and we may remove the depositary at any time. Any such resignation or removal will take effect upon the appointment of a successor depositary. A successor depositary must be appointed within 60 days after delivery of the notice of resignation or removal.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Ownership </w:t>
      </w:r>
    </w:p>
    <w:p>
      <w:pPr>
        <w:pStyle w:val="TextBody"/>
        <w:bidi w:val="0"/>
        <w:spacing w:before="120" w:after="0"/>
        <w:jc w:val="left"/>
        <w:rPr>
          <w:rFonts w:ascii="Times New Roman" w:hAnsi="Times New Roman"/>
          <w:sz w:val="20"/>
        </w:rPr>
      </w:pPr>
      <w:r>
        <w:rPr>
          <w:rFonts w:ascii="Times New Roman" w:hAnsi="Times New Roman"/>
          <w:sz w:val="20"/>
        </w:rPr>
        <w:t xml:space="preserve">In order to safeguard us against an inadvertent loss of REIT status, the deposit agreement will contain provisions restricting the ownership and transfer of depositary shares. These restrictions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forward to holders of depositary receipts any reports and communications from us which it receives with respect to the related shares of preferred stock. Neither we nor the depositary will be liable if it is prevented from or delayed in, by law or any circumstances beyond its control, performing its obligations under the deposit agreement. The obligations of the depositary and us under the deposit agreement will be limited to performing their duties thereunder in good faith and without gross negligence or willful misconduct. We and the depositary will not be obligated to prosecute or defend any legal proceeding in respect of any depositary receipts, depositary shares, or preferred stock represented thereby unless satisfactory indemnity is furnished. We and the depositary may rely on written advice of counsel or accountants, or information provided by persons presenting preferred stock represented thereby for deposit, holders of depositary receipts, or other persons believed to be competent to give such information, and on documents believed to be genuine and signed by a proper party.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shall receive conflicting claims, requests, or instructions from any holders of depositary receipts, on the one hand, and us, on the other hand, the depositary shall be entitled to act on such claims, requests, or instructions received from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tx158325_12"/>
      <w:bookmarkEnd w:id="13"/>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the debt securities that we may offer under this prospectus. While the terms we have summarized below will generally apply to any future debt securities we may offer under this prospectus, we will describe the particular terms of any debt securities that we may offer in more detail in the applicable prospectus supplement. The terms of any debt securities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will issue any senior notes under the senior indenture which we will enter into with the trustee named in the senior indenture. We will issue any subordinated notes under the subordinated indenture which we will enter into with the trustee named in the subordinated indenture. We have filed forms of these documents as exhibits to the registration statement of which this prospectus is a part. We use the term “indentures” to refer to both the senior indenture and the subordinated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will be qualified under the Trust Indenture Act of 1939. We use the term “trustee” to refer to either the senior trustee or the subordinated trustee,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senior notes, the subordinated notes and the indentures is subject to, and is qualified in its entirety by reference to, all the provisions of the indenture applicable to a particular series of debt securities. We urge you to read the applicable prospectus supplements related to the debt securities that we sell under this prospectus, as well as the complete indentures that contain the terms of the debt securities. Except as we may otherwise indicate, the terms of the senior indenture and the subordinated indenture are identical.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do not limit the aggregate principal amount of debt securities that may be issued thereunder. The debt securities may be issued from time to time in one or more series. We will describe in the applicable prospectus supplement the terms relating to a series of debt securities, which may include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thereof) at which the debt securities of a series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being offered, and, if a series, the total amount authorized and the total amount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we will issue the series of debt securities, in whole or in part, in global form and, if so, the terms and who the depositary will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due at maturity, and whether the debt securities will be issued with any original issue discount; whether and under what circumstances, if any, we will pay additional amounts on any debt securities held by a person who is not a U.S. person for tax purposes, and whether we can redeem the debt securities if we have to pay such additional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rate(s), which may be fixed or variable, or the method for determining the rate,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subsidiaries will guarantee the debt securities of a series, including the terms of subordination, if any, of the guarantees;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subordination of any series of subordinated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where payments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the principal of and interest, if any, on the debt securities of a series will be made, and if payments on the debt securities of a series are to be made in one or more currencies or currency units other than that or those in which the debt securities are denominated, the manner in which the exchange rate with respect to the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the date, if any, after which, the conditions upon which, and the price at which we may, at our option, redeem the series of debt securities pursuant to any optional or provisional redemption provisions, and any other applicable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if any, on which and the price or prices at which the debt securities of a series will be repurchased by us at the option of the holders thereof and the terms and provisions of such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a sinking fund, purchase or other analogous fund, if any; the date, if any, on which, and the price at which we are obligated, pursuant to any mandatory sinking fund or analogous fund provisions or otherwise, to redeem, or at the holder’s option to purchase,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describing any book-entry features;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U.S. dollars, the currency in which the series of debt securities will be denominated;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including any events of default that are in addition to those described in this prospectus or any covenants, including restrictive covenants, provided with respect to the debt securities, and any terms which may be required by us or advisable under applicable laws or regulations or advisable in connection with the marketing of the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One or more series of the debt securities may be issued as discounted debt securities (bearing no interest or interest at a rate which at the time of issuance is below market rates) to be sold at a substantial discount below their stated principal amount. Material U.S. federal income tax consequences and other special considerations applicable to any such discounted debt securities will be described in the prospectus supplement relating thereto.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prospectus supplement the terms on which a series of debt securities may be convertible into or exchangeable for our common stock or other securities, including the conversion or exchange rate, as applicable, or how it will be calculated, and the applicable conversion or exchange period. We will include provisions as to whether conversion or exchange is mandatory, at the option of the holder or at our option. We may include provisions pursuant to which the number of our securities that the holders of the series of debt securities receive upon conversion or exchange would, under the circumstances described in those provisions, be subject to adjustment, or pursuant to which those holders would, under those circumstances, receive other property upon conversion or exchange, for example in the event of our merger or consolidation with another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in the forms initially filed as exhibits to the registration statement of which this prospectus is a part do not contain any covenant that restricts our ability to merge or consolidate, or sell, convey, transfer or otherwise dispose of all or substantially all of our assets. However, any successor of ours or acquiror of such assets must assume all of our obligations under the indentures and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If the debt securities are convertible into our other securities, the person with whom we consolidate or merge or to whom we sell all of our property must make provisions for the conversion of the debt securities into securities similar to the debt securities which the holders of the debt securities would have received if they had converted the debt securities before the consolidation, merger or sale.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are events of default under the indentures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interest when due and payable and our failure continues for 30 days and the time for payment has not been extended or deferred;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or premium, if any, when due and payable and the time for payment has not been extended or delayed;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contained in the debt securities or the indentures, other than a covenant solely for the benefit of another series of debt securities, and our failure continues for 90 days after we receive notice from the trustee or holders of at least 25% in aggregate principal amount of the outstanding debt securities of the applicable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events of default established with respect to a series of debt securities pursuant to the indentures.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or, premium, if any, and accrued interest, if any, due and payable immediately. If an event of default specified in the last bullet point above occurs with respect to us, the principal amount of and accrued interest, if any, of each series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Upon written notice to the trustee, 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satisfactory to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of 1939, the trustee may take any other action deemed proper by the trustee which is not inconsistent with such direction by the holders and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only have the right to institute a proceeding under the indentures or to appoint a receiver or trustee, or to seek other remedies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and such holders have offered reasonable indemnity to the trustee, to institute the proceeding as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the covenants in the indentures.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Indentures;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change an indenture without the consent of any holders with respect to specific matters,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fix any ambiguity, omission, defect or inconsistency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“—Consolidation, Merger or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of 1939 or the applicable rules or procedures of the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any series of debt securities or to secure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by a successor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issuance, authorization and delivery of debt securities of any unissued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additional 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any series of debt securities as provided in an indenture, to establish the form of any certifications required to be furnished pursuant to an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such new covenants, restrictions, conditions or provisions for the protection of the holders, to make the occurrence, or the occurrence and the continuance, of a default in any such additional covenants, restrictions, conditions or provisions an event of default, or to surrender any of our rights or powers under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provisions with respect to matters or questions arising under an indenture, provided that such action shall not adversely affect the interests of holders or any related coupons in any material respect; provided further, that any change to an indenture to conform it to this prospectus or the applicable prospectus supplement shall be deemed not to adversely affect the interests of holders in any material respect.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changing the stated fixed maturity of, or any payment date of any installment of interest on,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interest on, or reducing any premium payable upon the redemption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supplemental indenture.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Defeasance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that we may elect, with respect to the debt securities of any series to terminate (and be deemed to have satisfied) any and all obligations in respect of such debt securities (except for certain obligations to register the transfer or exchange of debt securities, to replace stolen, lost or mutilated debt securities, to maintain paying agencies and hold monies for payment in trust and, if so specified with respect to the debt securities of a certain series, to pay the principal of (and premium, if any) and interest, if any, on such specified debt securities) on the 91st day after the deposit with the trustee, in trust, of money and/or U.S. government obligations which through the payment of interest and principal thereof in accordance with their terms will provide money in an amount sufficient to pay any installment of principal (and premium, if any (and interest, if any)), on and any mandatory sinking fund payments in respect of such debt securities on the stated maturity of such payments in accordance with the terms of the indenture and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Such a trust may be established only if, among other things, we have delivered to the trustee an opinion of counsel (who may be counsel to us) to the effect that, based upon applicable U.S. federal income tax law or a ruling published by the U.S. Internal Revenue Service (which opinion must be based on a change in applicable U.S. federal income tax law after the date of the indenture or a ruling published by the U.S. Internal Revenue Service after the date of the indenture), such a defeasance and discharge will not be deemed, or result in, a taxable event with respect to holders of such debt securities. The designation of such provisions, U.S. federal income tax consequences and other considerations applicable thereto will be described in the prospectus supplement relating thereto. If so specified with respect to the debt securities of a series, such a trust may be established only if establishment of the trust would not cause the debt securities of any such series listed on any nationally recognized securities exchange to be de-listed as a result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any series being redeemed in part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may make payments of principal or interest by check which we will mail to the holder or by wire transfer to certain holders. Unless we otherwise indicate in a prospectus supplement, we will designate an office or agency of the trustee in the City of New York as our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which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and the debt securities will be governed by and construed in accordance with the laws of the State of New York, except to the extent that the Trust Indenture Act of 1939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Subordination of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debt securities will be subordinate and junior in priority of payment to certain of our other indebtedness to the extent described in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tx158325_13"/>
      <w:bookmarkEnd w:id="14"/>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warrants that we may offer under this prospectus. While the terms we have summarized below will generally apply to any warrants we may offer under this prospectus, we will describe the particular terms of any warrants that we may offer in more detail in the applicable prospectus supplement. The terms of any warrants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shares of our common stock, shares of our preferred stock or debt securities. We may issue warrants independently of, or together with, shares of our common stock, shares of our preferred stock or debt securities offered by any prospectus supplement, and we may attach the warrants to, or issue them separately from, shares of common stock, shares of preferred stock or debt securities. Each series of warrants will be issued under a separate warrant agreement to be entered into between us and a bank or trust company, as warrant agent, all as set forth in the prospectus supplement relating to the particular issue of offered warrants. The warrant agent will act solely as our agent in connection with the warrant certificates relating to the warrants and will not assume any obligation or relationship of agency or trust with any holders of warrant certificates or beneficial owners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warrant agreements and warrants does not purport to be complete and is subject to, and is qualified in its entirety by reference to, all the provisions of the warrant agreement and the warrant certificates applicable to the particular series of warrants. We urge you to read the applicable prospectus supplements related to the warrants that we sell under this prospectus, as well as the complete warrant agreement and warrant certificates that contain the terms of the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applicable prospectus supplement will describe the terms of the warrants,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or amount of underlying securities purchasable upon exercise of the warrants and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warrants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after which the warrants and the underlying securities will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right will expire (the “Expiration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warrants outstanding,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on which we may accelerate the date by which the warrants must be exercised;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warrants, including terms, procedures and limitations relating to the exchange and exercise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Warrants will be offered and exercisable for U.S. dollars only and will be in registered form only. </w:t>
      </w:r>
    </w:p>
    <w:p>
      <w:pPr>
        <w:pStyle w:val="TextBody"/>
        <w:bidi w:val="0"/>
        <w:spacing w:before="240" w:after="0"/>
        <w:jc w:val="left"/>
        <w:rPr>
          <w:rFonts w:ascii="Times New Roman" w:hAnsi="Times New Roman"/>
          <w:sz w:val="20"/>
        </w:rPr>
      </w:pPr>
      <w:r>
        <w:rPr>
          <w:rFonts w:ascii="Times New Roman" w:hAnsi="Times New Roman"/>
          <w:sz w:val="20"/>
        </w:rPr>
        <w:t xml:space="preserve">Holders of warrants will be able to exchange warrant certificates for new warrant certificates of different denominations, present warrants for registration of transfer, and exercise warrants at the corporate trust office of the warrant agent or any other office indicated in the applicable prospectus supplement. Prior to the exercise of any warrants, holders of the warrants to purchase shares of common stock or preferred stock will not have any rights of holders of shares of common stock or preferred stock, including the right to receive payments of dividends, if any, or to exercise any applicable right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Certain Risk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Any warrants we issue will involve a degree of risk, including risks arising from fluctuations in the price of the underlying shares of common stock, shares of preferred stock or debt securities and general risks applicable to the securities market (or markets) on which the underlying securities trade,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Prospective purchasers of the warrants will need to recognize that the warrants may expire worthless and, thus, purchasers should be prepared to sustain a total loss of the purchase price of their warrants. This risk reflects the nature of a warrant as an asset which, other factors held constant, tends to decline in value over time and which may, depending on the price of the underlying securities, become worthless when it expires. The trading price of a warrant at any time is expected to increase if the price of or, if applicable, dividend rate on, the underlying securities increases. Conversely, the trading price of a warrant is expected to decrease as the time remaining to expiration of the warrant decreases and as the price of or, if applicable, dividend rate on, the underlying securities decreases. Assuming all other factors are held constant, the more a warrant is “out-of-the-money” (i.e., the more the exercise price exceeds the price of the underlying securities) and the shorter its remaining term to expiration, the greater the risk that a purchaser of the warrant will lose all or part of his or her investment. If the price of the underlying securities does not rise before the warrant expires to an extent sufficient to cover a purchaser’s cost of the warrant, the purchaser will lose all or part of his or her investment in the warrant upon expiration.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prospective purchasers of the warrants should be experienced with respect to options and option transactions, should understand the risks associated with options and should reach an investment decision only after careful consideration, with their financial advisors, of the suitability of the warrants in light of their particular financial circumstances and the information discussed in this prospectus and, if applicable, the prospectus supplement. Before purchasing, exercising or selling any warrants, prospective purchasers and holders of warrants should carefully consider,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the underlying securities at that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remaining to expiration;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related transaction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Some of the factors referred to above are in turn influenced by various political, economic and other factors that can affect the trading price of the underlying securities and should be carefully considered prior to making any investment decisions. </w:t>
      </w:r>
    </w:p>
    <w:p>
      <w:pPr>
        <w:pStyle w:val="TextBody"/>
        <w:bidi w:val="0"/>
        <w:spacing w:before="240" w:after="0"/>
        <w:jc w:val="left"/>
        <w:rPr>
          <w:rFonts w:ascii="Times New Roman" w:hAnsi="Times New Roman"/>
          <w:sz w:val="20"/>
        </w:rPr>
      </w:pPr>
      <w:r>
        <w:rPr>
          <w:rFonts w:ascii="Times New Roman" w:hAnsi="Times New Roman"/>
          <w:sz w:val="20"/>
        </w:rPr>
        <w:t xml:space="preserve">Purchasers of the warrants should further consider that the initial offering price of the warrants may be in excess of the price that a purchaser of options might pay for a comparable option in a private, less liquid transaction. In addition, it is not possible to predict the price at which the warrants will trade in the secondary market or whether any such market will be liquid. We may, but will not be obligated to, file an application to list any warrants on a U.S. national securities exchange. To the extent that any warrants are exercised, the number of warrants outstanding will decrease, which may result in a lessening of the liquidity of the warrants. Finally, the warrants will constitute our direct, unconditional and unsecured obligations, and as such will be subject to any changes in our perceived creditworthiness.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a warrant will be entitled to purchase that number or amount of underlying securities, at the exercise price, as will in each case be described in the prospectus supplement relating to the offered warrants. </w:t>
      </w:r>
    </w:p>
    <w:p>
      <w:pPr>
        <w:pStyle w:val="TextBody"/>
        <w:bidi w:val="0"/>
        <w:spacing w:before="240" w:after="0"/>
        <w:jc w:val="left"/>
        <w:rPr>
          <w:rFonts w:ascii="Times New Roman" w:hAnsi="Times New Roman"/>
          <w:sz w:val="20"/>
        </w:rPr>
      </w:pPr>
      <w:r>
        <w:rPr>
          <w:rFonts w:ascii="Times New Roman" w:hAnsi="Times New Roman"/>
          <w:sz w:val="20"/>
        </w:rPr>
        <w:t xml:space="preserve">After the close of business on the Expiration Date (which may be extended by us), unexercised warrants will become 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Holders may exercise warrants by delivering to the warrant agent payment as provided in the applicable prospectus supplement of the amount required to purchase the underlying securities purchasable upon exercise, together with the information set forth on the reverse side of the warrant certificate. Warrants will be deemed to have been exercised upon receipt of payment of the exercise price, subject to the receipt within five business days of the warrant certificate evidencing the exercised warrants. Upon receipt of payment and the warrant certificate properly completed and duly executed at the corporate trust office of the warrant agent or any other office indicated in the applicable prospectus supplement, we will, as soon as practicable, issue and deliver the underlying securities purchasable upon such exercise. If fewer than all of the warrants represented by a warrant certificate are exercised, we will issue a new warrant certificate for the remaining amount of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and Supplements to Warrant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may amend or supplement the warrant agreement without the consent of the holders of the warrants issued under the agreement to effect changes that are not inconsistent with the provisions of the warrants and that do not adversely affect the interests of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5" w:name="tx158325_14"/>
      <w:bookmarkEnd w:id="15"/>
      <w:r>
        <w:rPr>
          <w:rFonts w:ascii="Times New Roman" w:hAnsi="Times New Roman"/>
          <w:b/>
          <w:sz w:val="20"/>
        </w:rPr>
        <w:t xml:space="preserve">DESCRIPTION OF RIGHTS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rights that we may offer under this prospectus. While the terms we have summarized below will generally apply to any rights we may offer under this prospectus, we will describe the particular terms of any rights that we may offer in more detail in the applicable prospectus supplement. The terms of any rights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rights for the purchase of shares of our common stock, shares of our preferred stock or debt securities. Each series of rights will be issued under a separate rights agreement which we will enter into with a bank or trust company, as rights agent, all as set forth in the applicable prospectus supplement. The rights agent will act solely as our agent in connection with the certificates relating to the rights and will not assume any obligation or relationship of agency or trust with any holders of rights certificates or beneficial owners of rights. We will file the rights agreement and the rights certificates relating to each series of rights with the SEC, and incorporate them by reference as an exhibit to the registration statement of which this prospectus is a part on or before the time we issue a series of rights.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the terms of any rights we issue,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for determining the persons entitled to participate in the rights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or amount of underlying securities purchasable upon exercise of the rights and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rights being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rights may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rights commences and the date on which the right expires;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rights outstanding,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rights, including the terms, procedures and limitations relating to the distribution, exchange and exercise of the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Rights will be exercisable for U.S. dollars only and will be in registered form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6" w:name="tx158325_15"/>
      <w:bookmarkEnd w:id="16"/>
      <w:r>
        <w:rPr>
          <w:rFonts w:ascii="Times New Roman" w:hAnsi="Times New Roman"/>
          <w:b/>
          <w:sz w:val="20"/>
        </w:rPr>
        <w:t xml:space="preserve">DESCRIPTION OF STOCK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stock purchase contracts that we may offer under this prospectus. While the terms we have summarized below will generally apply to any stock purchase contracts we may offer under this prospectus, we will describe the particular terms of any stock purchase contracts that we may offer in more detail in the applicable prospectus supplement. The terms of any stock purchase contracts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stock purchase contracts, including contracts obligating holders to purchase from us and us to sell to the holders, a specified number of shares of common stock, shares of preferred stock or depositary shares at a future date or dates. Alternatively, the stock purchase contracts may obligate us to purchase from holders, and obligate holders to sell to us, a specified or varying number of shares of common stock, shares of preferred stock or depositary shares. The consideration per share of common stock or preferred stock or per depositary share may be fixed at the time the stock purchase contracts are issued or may be determined by a specific reference to a formula set forth in the stock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stock purchase contracts may provide for settlement by delivery by us or on our behalf of shares of the underlying security, or they may provide for settlement by reference or linkage to the value, performance or trading price of the underlying security. </w:t>
      </w:r>
    </w:p>
    <w:p>
      <w:pPr>
        <w:pStyle w:val="TextBody"/>
        <w:bidi w:val="0"/>
        <w:spacing w:before="240" w:after="0"/>
        <w:jc w:val="left"/>
        <w:rPr>
          <w:rFonts w:ascii="Times New Roman" w:hAnsi="Times New Roman"/>
          <w:sz w:val="20"/>
        </w:rPr>
      </w:pPr>
      <w:r>
        <w:rPr>
          <w:rFonts w:ascii="Times New Roman" w:hAnsi="Times New Roman"/>
          <w:sz w:val="20"/>
        </w:rPr>
        <w:t xml:space="preserve">The stock purchase contracts may be issued separately or as part of stock purchase units consisting of a stock purchase contract and debt securities, preferred stock or debt obligations of third parties, including U.S. treasury securities, other stock purchase contracts or common stock, or other securities or property, securing the holders’ obligations to purchase or sell, as the case may be, the common stock, preferred stock, depositary shares or other security or property under the stock purchase contracts. The stock purchase contracts may require us to make periodic payments to the holders of the stock purchase units or vice versa, and such payments may be unsecured or prefunded on some basis and may be paid on a current or on a deferred basis. The stock purchase contracts may require holders to secure their obligations thereunder in a specified manner and may provide for the prepayment of all or part of the consideration payable by holders in connection with the purchase of the underlying security or other property pursuant to the stock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related to the stock purchase contracts may be pledged to a collateral agent for our benefit pursuant to a pledge agreement to secure the obligations of holders of stock purchase contracts to purchase the underlying security or property under the related stock purchase contracts. The rights of holders of stock purchase contracts to the related pledged securities will be subject to our security interest therein created by the pledge agreement. No holder of stock purchase contracts will be permitted to withdraw the pledged securities related to such stock purchase contracts from the pledge arrangement except upon the termination or early settlement of the related stock purchase contracts or in the event other securities, cash or property is made subject to the pledge agreement in lieu of the pledged securities, if permitted by the pledge agreement, or as otherwise provided in the pledge agreement. Subject to such security interest and the terms of the stock purchase contract agreement and the pledge agreement, each holder of a stock purchase contract will retain full beneficial ownership of the related pledged securities.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in the applicable prospectus supplement, the collateral agent will, upon receipt of distributions on the pledged securities, distribute such payments to us or the stock purchase contract agent, as provided in the pledge agreement. The purchase agent will in turn distribute payments it receives as provided in the stock purchase contract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tx158325_16"/>
      <w:bookmarkEnd w:id="17"/>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units that we may offer under this prospectus. While the terms we have summarized below will generally apply to any units we may offer under this prospectus, we will describe the particular terms of any units that we may offer in more detail in the applicable prospectus supplement. The terms of any units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securities in units, each consisting of two or more types of securities. For example, we might issue units consisting of a combination of debt securities and warrants to purchase common stock. If we issue units, the prospectus supplement relating to the units will contain the information described above with regard to each of the securities that is a component of the units. In addition, the prospectus supplement relating to the units will describe the terms of any units we issue,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units may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apply to have the units traded on a securities exchange or securities quotation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for U.S. federal income tax purposes, the purchase price paid for the units is to be allocated among the component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8" w:name="tx158325_17"/>
      <w:bookmarkEnd w:id="18"/>
      <w:r>
        <w:rPr>
          <w:rFonts w:ascii="Times New Roman" w:hAnsi="Times New Roman"/>
          <w:b/>
          <w:sz w:val="20"/>
        </w:rPr>
        <w:t xml:space="preserve">MATERIAL UNITED STATES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material United States federal income tax consequences relating to the purchase, ownership and disposition of common stock, preferred stock and debt securities of The Macerich Company, and the qualification and taxation of The Macerich Company as a REIT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Because this is a summary that is intended to address only certain material United States federal income tax considerations relating to the ownership and disposition of debt securities, common stock and preferred stock generally applicable to holders, it may not contain all the information that may be important to you. As you review this discussion, you should keep in mind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consequences to you may vary depending on your particular tax situation;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special rules that are not discussed below may apply to you if, for example, you are a tax-exempt organization, a broker-dealer, a trust, an estate, a regulated investment company, a financial institution, an insurance company, a person who holds 10% or more (by vote or value) of our stock, or are otherwise subject to special tax treatment under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summary assumes that the relevant common stock, preferred stock and debt securities are held as capital assets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summary does not address state, local, non-U.S., alternative minimum, or estate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discussion is not intended to be, and should not be construed as, tax advice.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You are urged both to review the following discussion and to consult with your own tax advisor to determine the effect of ownership and disposition of the debt securities, the common stock and the preferred stock on your individual tax situation, including any state, local, or non-U.S.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is based on the current Code, current, temporary and proposed Treasury Regulations, the legislative history of the Code, current administrative interpretations and practices of the Internal Revenue Service (the “IRS”), including its practices and policies as endorsed in private letter rulings, which are not binding on the IRS except in the case of the taxpayer to whom a private letter ruling is addressed, and existing court decisions. Future legislation, regulations, administrative interpretations and court decisions could change current law or adversely affect existing interpretations of current law. Any change could apply retroactively. We have not obtained any rulings from the IRS concerning the tax treatment of the matters discussed below. Thus, it is possible that the IRS could challenge the statements in this discussion which do not bind the IRS or the courts, and that a court could agree with the IRS. </w:t>
      </w:r>
    </w:p>
    <w:p>
      <w:pPr>
        <w:pStyle w:val="TextBody"/>
        <w:bidi w:val="0"/>
        <w:spacing w:before="360" w:after="0"/>
        <w:jc w:val="left"/>
        <w:rPr>
          <w:rFonts w:ascii="Times New Roman" w:hAnsi="Times New Roman"/>
          <w:b/>
          <w:sz w:val="20"/>
        </w:rPr>
      </w:pPr>
      <w:r>
        <w:rPr>
          <w:rFonts w:ascii="Times New Roman" w:hAnsi="Times New Roman"/>
          <w:b/>
          <w:sz w:val="20"/>
        </w:rPr>
        <w:t xml:space="preserve">Classification and Taxation of The Macerich Company as a REIT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references to “we,” “us” or “our,” and any similar terms, refer to The Macerich Company. We have elected to be taxed as a REIT under the Code. A REIT generally is not subject to federal income tax on the income that it distributes to stockholders if it meets the applicable REIT distribution requirements and other requirements for qualification.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we are organized and have operated in such a manner so as to qualify as a REIT, but there can be no assurance that we have qualified or will remain qualified as a REIT. In the opinion of our tax counsel, Goodwin Procter LLP, based upon and subject to the various assumptions and on our representations concerning our organization and operations, commencing with the taxable year ended December 31, 2013, our form of organization and operations are such as to enable us to qualify as a REIT. It must be emphasized that the opinion of Goodwin Procter LLP is based on various assumptions relating to our organization and operation, including that all factual representations and statements set forth in all relevant documents, records and instruments are true and correct, and that we will at all times operate in accordance with the method of operation described in our organizational documents and this prospectus, and is conditioned upon factual representations and covenants made by our management and affiliated entities regarding our organization, assets, and past, present and future conduct of our business operations, and assumes that such representations and covenants are accurate and complete and that we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take no action inconsistent with our status as a REIT. While we believe that we are organized and have operated and intend to continue to operate so that we will qualify as a REIT, given the highly complex nature of the rules governing REITs, the ongoing importance of factual determinations, and the possibility of future changes in our circumstances, no assurance can be given by Goodwin Procter LLP or us that we have so qualified or will so qualify for any particular year. Goodwin Procter LLP will have no obligation to advise us or the holders of our stock, debt securities or other instruments of any subsequent change in the matters stated, represented or assumed, or of any subsequent change in the applicable law. You should be aware that opinions of counsel are not binding on the IRS, and no assurance can be given that the IRS will not challenge the conclusions set forth in such opinions. </w:t>
      </w:r>
    </w:p>
    <w:p>
      <w:pPr>
        <w:pStyle w:val="TextBody"/>
        <w:bidi w:val="0"/>
        <w:spacing w:before="240" w:after="0"/>
        <w:jc w:val="left"/>
        <w:rPr>
          <w:rFonts w:ascii="Times New Roman" w:hAnsi="Times New Roman"/>
          <w:sz w:val="20"/>
        </w:rPr>
      </w:pPr>
      <w:r>
        <w:rPr>
          <w:rFonts w:ascii="Times New Roman" w:hAnsi="Times New Roman"/>
          <w:sz w:val="20"/>
        </w:rPr>
        <w:t xml:space="preserve">Qualification and taxation as a REIT depends on our ability to meet, on a continuing basis, through actual operating results, distribution levels, and diversity of stock ownership, various qualification requirements imposed upon REITs by the Code, the compliance with which will not be reviewed by Goodwin Procter LLP. Our ability to qualify as a REIT also requires that we satisfy certain asset tests, some of which depend upon the fair market values of assets directly or indirectly owned by us. Such values may not be susceptible to a precise determination. Accordingly, no assurance can be given that the actual results of our operations for any taxable year will satisfy such requirements for qualification and taxation as a REIT. </w:t>
      </w:r>
    </w:p>
    <w:p>
      <w:pPr>
        <w:pStyle w:val="TextBody"/>
        <w:bidi w:val="0"/>
        <w:spacing w:before="240" w:after="0"/>
        <w:jc w:val="left"/>
        <w:rPr>
          <w:rFonts w:ascii="Times New Roman" w:hAnsi="Times New Roman"/>
          <w:sz w:val="20"/>
        </w:rPr>
      </w:pPr>
      <w:r>
        <w:rPr>
          <w:rFonts w:ascii="Times New Roman" w:hAnsi="Times New Roman"/>
          <w:sz w:val="20"/>
        </w:rPr>
        <w:t xml:space="preserve">So long as we qualify for taxation as a REIT, we generally will not be subject to federal corporate income tax on our net income that we distribute to our stockholders within certain time periods. This treatment substantially eliminates “double taxation” (that is, taxation at both the corporate and stockholder levels) that generally results from an investment in a regular corporation. However, we will be subject to federal income tax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taxed at regular corporate rates on any undistributed “REIT taxable income.” REIT taxable income is the taxable income of the REIT subject to specified adjustments, including a deduction for dividends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net income from the sale or other disposition of “foreclosure property” that is held primarily for sale to customers in the ordinary course of business (including certain foreign currency gain attributable thereto), or other nonqualifying income from foreclosure property, we will be subject to tax at the highest corporate rate on this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net income from “prohibited transactions” (including certain foreign currency gain attributable thereto) we will be subject to a 100% tax on this income. In general, prohibited transactions are sales or other dispositions of property held primarily for sale to customers in the ordinary course of business other than foreclosure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either the 75% gross income test or the 95% gross income test discussed below, but nonetheless maintain our qualification as a REIT because other requirements are met, we will be subject to a tax equal to the gross income attributable to the greater of either (1) the amount by which we fail the 75% gross income test for the taxable year or (2) the amount by which we fail the 95% gross income test for the taxable year, multiplied by a fraction intended to reflect our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any of the REIT asset tests, as described below, other than a failure by a de minimis amount of the 5% or 10% assets tests, as described below, but our failure is due to reasonable cause and not due to willful neglect and we nonetheless maintain our REIT qualification because of specified cure provisions, we will be required to pay a tax equal to the greater of $50,000 or the product of (x) the net income generated by the nonqualifying assets during the period in which we failed to satisfy the asset tests and (y) the highest U.S. federal income tax rate then applicable to U.S.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any provision of the Code that would result in our failure to qualify as a REIT (other than a gross income or asset test requirement) and that violation is due to reasonable cause and not due to willful neglect, we may retain our REIT qualification, but we will be required to pay a penalty of $50,000 for each such failure;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pay monetary penalties to the IRS in certain circumstances, including if we fail to meet record-keeping requirements intended to monitor our compliance with rules relating to the composition of our stockholders, as described below in “—Requirements for Qualification as a REIT;”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subject to a nondeductible 4% excise tax on the excess of the required distribution over the sum of amounts actually distributed and amounts retained for which federal income tax was paid, if we fail to distribute during each calendar year at least the sum of 85% of our REIT ordinary income for the year, 95% of our REIT capital gain net income for the year; and any undistributed taxable income from prior taxable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subject to a 100% penalty tax on some payments we receive (or on certain expenses deducted by a taxable REIT subsidiary of ours) if arrangements among us, our tenants, and/or our taxable REIT subsidiaries are not comparable to similar arrangements among unrelated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acquire any asset from a “C” corporation in a carry-over basis transaction and we subsequently recognize gain on the disposition of such asset during the “recognition” period beginning on the date on which we acquired the asset (which period may vary depending on the date the asset is acquired, but is generally five years), then, to the extent of any built-in gain, such gain will be subject to tax at the highest regular corporate tax rate. Built-in gain means the excess of (1) the fair market value of the asset as of the beginning of the applicable recognition period over (2) the adjusted basis in such asset as of the beginning of such recognition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elect to retain and pay income tax on our net long-term capital gain. In that case, a stockholder would: (1) include its proportionate share of our undistributed long-term capital gain (to the extent we make a timely designation of such gain to the stockholder) in its income, (2) be deemed to have paid the tax that we paid on such gain and (3) be allowed a credit for its proportionate share of the tax deemed to have been paid with an adjustment made to increase the stockholders’ basis in our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have subsidiaries or own interests in other lower-tier entities that are “C” corporations that will jointly elect, with us, to be treated as a taxable REIT subsidiary, the earnings of which would be subject to U.S. federal corporate income tax.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assurance can be given that the amount of any such federal income taxes will not be substantial. In addition, we and our subsidiaries may be subject to a variety of taxes other than U.S. federal income tax, including payroll taxes and state, local, and foreign income, franchise, property and other taxes on assets and operations. We could also be subject to tax in situations and on transactions not presently contemplated.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Qualification as a REIT </w:t>
      </w:r>
    </w:p>
    <w:p>
      <w:pPr>
        <w:pStyle w:val="TextBody"/>
        <w:bidi w:val="0"/>
        <w:spacing w:before="120" w:after="0"/>
        <w:jc w:val="left"/>
        <w:rPr>
          <w:rFonts w:ascii="Times New Roman" w:hAnsi="Times New Roman"/>
          <w:sz w:val="20"/>
        </w:rPr>
      </w:pPr>
      <w:r>
        <w:rPr>
          <w:rFonts w:ascii="Times New Roman" w:hAnsi="Times New Roman"/>
          <w:sz w:val="20"/>
        </w:rPr>
        <w:t xml:space="preserve">We elected to be taxable as a REIT for United States federal income tax purposes for our taxable year ended December 31, 1994. In order to have so qualified, we must have met and continue to meet the requirements discussed below, relating to our organization, sources of income, nature of assets and distributions of income to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Code defines a REIT as a corporation, trust, or association: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is managed by one or more trustees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ownership of which is evidenced by transferable shares, or by transferable certificates of beneficial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would be taxable as a domestic corporation, but for Sections 856 through 860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is neither a financial institution nor an insurance company subject to applicable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ownership of which is held by 100 or more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last half of each taxable year not more than 50% in value of the outstanding shares of which is owned directly or indirectly by five or fewer “individuals”, as defined in the Code to include specified entities;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makes an election to be taxable as a REIT, or has made this election for a previous taxable year which has not been revoked or terminated, and satisfies all relevant filing and other administrative requirements established by the IRS that must be met to elect and maintain REIT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uses a calendar year for United States federal income tax purposes and complies with the recordkeeping requirements of the Code and regulations promulgated thereunder;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meets other applicable tests, described below, regarding the nature of its income and assets and the amount of its distributions.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Conditions (1), (2), (3), and (4) above must be met during the entire taxable year and conditions (5) and (6) do not apply to the first taxable year for which a REIT election is made and, thereafter, condition (5) above must be met during at least 335 days of a taxable year of 12 months, or during a proportionate part of a taxable year of less than 12 months. For purposes of determining stock ownership under condition (6) above, a supplemental unemployment compensation benefits plan, a private foundation, and a portion of a trust permanently set aside or used exclusively for charitable purposes generally are each considered an individual. A trust that is a qualified trust under Code Section 401(a) generally is not considered an individual, and beneficiaries of a qualified trust are treated as holding shares of a REIT in proportion to their actuarial interests in the trust for purposes of condition (6) above. </w:t>
      </w:r>
    </w:p>
    <w:p>
      <w:pPr>
        <w:pStyle w:val="TextBody"/>
        <w:bidi w:val="0"/>
        <w:spacing w:before="240" w:after="0"/>
        <w:jc w:val="left"/>
        <w:rPr>
          <w:rFonts w:ascii="Times New Roman" w:hAnsi="Times New Roman"/>
          <w:sz w:val="20"/>
        </w:rPr>
      </w:pPr>
      <w:r>
        <w:rPr>
          <w:rFonts w:ascii="Times New Roman" w:hAnsi="Times New Roman"/>
          <w:sz w:val="20"/>
        </w:rPr>
        <w:t xml:space="preserve">To qualify as a REIT, we also cannot have at the end of any taxable year any undistributed earnings and profits that are attributable to a non-REIT taxable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Protection from Stock Concentration </w:t>
      </w:r>
    </w:p>
    <w:p>
      <w:pPr>
        <w:pStyle w:val="TextBody"/>
        <w:bidi w:val="0"/>
        <w:spacing w:before="120" w:after="0"/>
        <w:jc w:val="left"/>
        <w:rPr>
          <w:rFonts w:ascii="Times New Roman" w:hAnsi="Times New Roman"/>
          <w:sz w:val="20"/>
        </w:rPr>
      </w:pPr>
      <w:r>
        <w:rPr>
          <w:rFonts w:ascii="Times New Roman" w:hAnsi="Times New Roman"/>
          <w:sz w:val="20"/>
        </w:rPr>
        <w:t xml:space="preserve">In order to protect us from a concentration of ownership of stock that would cause us to fail conditions (5) or (6) above, our Charter provides that stock owned, or deemed to be owned or transferred to a stockholder in excess of specified ownership limits will be converted automatically into excess stock and transferred to a trust for the benefit of a charity and that certain transfers of our stock shall be void ab initio. Excess stock is a class of our capital stock that shares ratably with the common stock in dividends and rights upon dissolution. Because of the absence of authority on this issue, however, we cannot assure you that the operation of the excess stock or other provisions contained in our Charter will, as a matter of law, prevent a violation of the share ownership requirements in conditions (5) and (6) above. If there were such a share ownership violation and the operation of the excess stock or other provisions contained in our Charter were not held to cure such violation, we may be disqualified as a REIT. In rendering its opinion that we are organized in a manner that permits us to qualify as a REIT, Goodwin Procter LLP is relying on our representation that the ownership of our stock (without regard to the excess stock provisions) satisfies condition (6) above. Goodwin Procter LLP expresses no opinion as to whether, as a matter of law, the excess stock or other provisions contained in our Charter preclude us from failing conditions (5) or (6) above. </w:t>
      </w:r>
    </w:p>
    <w:p>
      <w:pPr>
        <w:pStyle w:val="TextBody"/>
        <w:bidi w:val="0"/>
        <w:spacing w:before="240" w:after="0"/>
        <w:jc w:val="left"/>
        <w:rPr>
          <w:rFonts w:ascii="Times New Roman" w:hAnsi="Times New Roman"/>
          <w:sz w:val="20"/>
        </w:rPr>
      </w:pPr>
      <w:r>
        <w:rPr>
          <w:rFonts w:ascii="Times New Roman" w:hAnsi="Times New Roman"/>
          <w:sz w:val="20"/>
        </w:rPr>
        <w:t xml:space="preserve">To monitor its compliance with condition (6) above, a REIT is required to send annual letters to certain stockholders requesting information regarding the actual ownership of its shares. If we comply with the annual letters requirement and we do not know or, exercising reasonable diligence, would not have known of our failure to meet condition (6) above, then we will be treated as having met condition (6) above. A list of those persons failing or refusing to comply with this demand must be maintained as part of our records. Failure by us to comply with these record-keeping requirements could subject us to monetary penalties. A stockholder that fails or refuses to comply with the demand is required by Treasury Regulations to submit a statement with its tax return disclosing the actual ownership of the shares and other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Qualified REIT Subsidiaries </w:t>
      </w:r>
    </w:p>
    <w:p>
      <w:pPr>
        <w:pStyle w:val="TextBody"/>
        <w:bidi w:val="0"/>
        <w:spacing w:before="120" w:after="0"/>
        <w:jc w:val="left"/>
        <w:rPr>
          <w:rFonts w:ascii="Times New Roman" w:hAnsi="Times New Roman"/>
          <w:sz w:val="20"/>
        </w:rPr>
      </w:pPr>
      <w:r>
        <w:rPr>
          <w:rFonts w:ascii="Times New Roman" w:hAnsi="Times New Roman"/>
          <w:sz w:val="20"/>
        </w:rPr>
        <w:t xml:space="preserve">If a REIT owns a corporate subsidiary that is a “qualified REIT subsidiary,” the separate existence of that subsidiary will be disregarded for United States federal income tax purposes. Generally, a qualified REIT subsidiary is a corporation, other than a taxable REIT subsidiary (discussed below), all of the stock of which is owned by the REIT. All assets, liabilities, and items of income, deduction, and credit of the qualified REIT subsidiary will be treated as assets, liabilities and items of income, deduction and credit of the REIT itself. A qualified REIT subsidiary of ours will not be subject to federal corporate income taxation, although it may be subject to state and local taxation in some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Taxable REIT Subsidiaries </w:t>
      </w:r>
    </w:p>
    <w:p>
      <w:pPr>
        <w:pStyle w:val="TextBody"/>
        <w:bidi w:val="0"/>
        <w:spacing w:before="120" w:after="0"/>
        <w:jc w:val="left"/>
        <w:rPr>
          <w:rFonts w:ascii="Times New Roman" w:hAnsi="Times New Roman"/>
          <w:sz w:val="20"/>
        </w:rPr>
      </w:pPr>
      <w:r>
        <w:rPr>
          <w:rFonts w:ascii="Times New Roman" w:hAnsi="Times New Roman"/>
          <w:sz w:val="20"/>
        </w:rPr>
        <w:t xml:space="preserve">A “taxable REIT subsidiary” of ours is a corporation in which we directly or indirectly own stock and that jointly elects with us to be treated as a taxable REIT subsidiary under Section 856(l) of the Code. In addition, if one of our taxable REIT subsidiaries owns, directly or indirectly, securities representing 35% or more of the vote or value of a subsidiary corporation, that subsidiary will also be treated as a taxable REIT subsidiary of ours. A taxable REIT subsidiary is a corporation subject to United States federal income tax, and state and local income tax where applicable, as a regular “C” corporation. </w:t>
      </w:r>
    </w:p>
    <w:p>
      <w:pPr>
        <w:pStyle w:val="TextBody"/>
        <w:bidi w:val="0"/>
        <w:spacing w:before="240" w:after="0"/>
        <w:jc w:val="left"/>
        <w:rPr>
          <w:rFonts w:ascii="Times New Roman" w:hAnsi="Times New Roman"/>
          <w:sz w:val="20"/>
        </w:rPr>
      </w:pPr>
      <w:r>
        <w:rPr>
          <w:rFonts w:ascii="Times New Roman" w:hAnsi="Times New Roman"/>
          <w:sz w:val="20"/>
        </w:rPr>
        <w:t xml:space="preserve">Generally, a taxable REIT subsidiary can perform some “impermissible tenant services” (defined below under “—Income Tests Applicable to REITs”) without causing us to receive impermissible tenant services income under the REIT income tests. However, several provisions regarding the arrangements between a REIT and its taxable REIT subsidiaries ensure that a taxable REIT subsidiary will be subject to an appropriate level of United States federal income taxation. For example, we will be obligated to pay a 100% penalty tax on some payments that we receive or on certain expenses deducted by the taxable REIT subsidiary if the economic arrangements among us, our tenants, and/or the taxable REIT subsidiary are not comparable to similar arrangements among unrelated parties. A taxable REIT subsidiary may also engage in other activities that, if conducted by us other than through a taxable REIT subsidiary, could result in the receipt of non-qualified income or the ownership of non-qualified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of Partnership Interests by a REIT </w:t>
      </w:r>
    </w:p>
    <w:p>
      <w:pPr>
        <w:pStyle w:val="TextBody"/>
        <w:bidi w:val="0"/>
        <w:spacing w:before="120" w:after="0"/>
        <w:jc w:val="left"/>
        <w:rPr>
          <w:rFonts w:ascii="Times New Roman" w:hAnsi="Times New Roman"/>
          <w:sz w:val="20"/>
        </w:rPr>
      </w:pPr>
      <w:r>
        <w:rPr>
          <w:rFonts w:ascii="Times New Roman" w:hAnsi="Times New Roman"/>
          <w:sz w:val="20"/>
        </w:rPr>
        <w:t xml:space="preserve">A REIT that is a partner in a partnership will be deemed to own its proportionate share of the assets of the partnership and will be deemed to earn its proportionate share of the partnership’s income. The assets and gross income of the partnership retain the same character in the hands of the REIT for purposes of the gross income and asset tests applicable to REITs as described below. Thus, The Macerich Company’s proportionate share of the assets and items of income of the Operating Partnership, including the Operating Partnership’s share of the assets and liabilities and items of income with respect to any partnership in which it holds an interest, will be treated as The Macerich Company’s assets and liabilities and its items of income for purposes of applying the requirements described in this prospectus. The Macerich Company has control over the Operating Partnership and substantially all of the partnerships and limited liability company subsidiaries of the Operating Partnership and intends to operate them in a manner that is consistent with the requirements for the qualification of The Macerich Company as a REIT.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is audited by the IRS, the partnership itself may be liable for a hypothetical increase in partner-level taxes (including interest and penalties) resulting from an adjustment of partnership tax items on audit, regardless of changes in the composition of the partners (or their relative ownership) between the year under audit and the year of the adjustment. The Code also provides for an elective alternative method under which the additional taxes resulting from the adjustment are assessed against the affected partners, subject to a higher rate of interest than otherwise would apply. The application of these rules could cause us to economically bear more than our share of any U.S. federal income tax, interest, and/or penalties arising from a federal income tax audit of any of the partnerships in which we hold a direct or indirect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Tests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To qualify as a REIT, we must satisfy two gross income tests. First, at least 75% of our gross income, excluding gross income from prohibited transactions, certain hedging transactions and certain foreign currency gain recognized after July 30, 2008, must be derived from (1) rents from real property, (2) interest on obligations secured by mortgages on real property or on interests in real property, (3) gains from the sale or other disposition of real property (including interests in real property and interests in mortgages on real property) other than property held primarily for sale to customers in the ordinary course of our trade or business, (4) dividends from other qualifying REITs and gain (other than gain from prohibited transactions) from the sale of shares of other qualifying REITs, (5) other specified investments relating to real property or mortgages thereon and (6) for a limited time, temporary investment income. Second, at least 95% of our gross income for each taxable year (excluding gross income from prohibited transactions, certain hedging transactions and certain foreign currency gain recognized after July 30, 2008) must be derived from any combination of income qualifying under the 75% test and dividends, interest and gain from the sale or disposition of stock or securities that are not assets held primarily for sale to customers in the ordinary course of our trade or business. For this purpose, certain income inclusions under Subpart F of the Code, the global intangible low-taxed income regime, and the passive foreign investment company rules constitute qualifying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Rents we receive will qualify as rents from real property in satisfying the gross income requirements for a REIT described above only if several conditions are met. First, the amount of rent must not be based in whole or in part on the income or profits of any person. However, an amount received or accrued generally will not be excluded from the term “rents from real property” solely by reason of being based on a fixed percentage or percentages of receipts or sales. Second, rents received from a “related party tenant” will not qualify as rents from real property in satisfying the gross income tests unless the tenant is a taxable REIT subsidiary and either (i) at least 90% of the property is leased to unrelated tenants and the rent paid by the taxable REIT subsidiary is substantially comparable to the rent paid by the unrelated tenants for comparable space, or (ii) the property leased is a “qualified lodging facility,” as defined in Section 856(d)(9)(D) of the Code, or a “qualified health care property,” as defined in Section 856(e)(6)(D)(i), and certain other conditions are satisfied. A tenant is a related party tenant if the REIT, or an actual or constructive owner of 10% or more of the REIT, actually or constructively owns 10% or more of the tenant. Third, if rent attributable to personal property, leased in connection with a lease of real property, is greater than 15% of the total rent received under the lease, then the portion of rent attributable to the personal property will not qualify as rents from real property. </w:t>
      </w:r>
    </w:p>
    <w:p>
      <w:pPr>
        <w:pStyle w:val="TextBody"/>
        <w:bidi w:val="0"/>
        <w:spacing w:before="240" w:after="0"/>
        <w:jc w:val="left"/>
        <w:rPr>
          <w:rFonts w:ascii="Times New Roman" w:hAnsi="Times New Roman"/>
          <w:sz w:val="20"/>
        </w:rPr>
      </w:pPr>
      <w:r>
        <w:rPr>
          <w:rFonts w:ascii="Times New Roman" w:hAnsi="Times New Roman"/>
          <w:sz w:val="20"/>
        </w:rPr>
        <w:t xml:space="preserve">Generally, for rents to qualify as rents from real property for the purpose of satisfying the gross income tests, we may provide directly only an insignificant amount of services, unless those services are “usually or customarily rendered” in connection with the rental of real property and not otherwise considered “rendered to the occupant.” Accordingly, we may not provide “impermissible services” to tenants (except through an independent contractor from whom we derive no revenue and that meets other requirements or through a taxable REIT subsidiary) without giving rise to “impermissible tenant service income.” Impermissible tenant service income is deemed to be at least 150% of the direct cost to us of providing the service. If the impermissible tenant service income exceeds 1% of our total income from a property, then all of the income from that property will fail to qualify as rents from real property. If the total amount of impermissible tenant service income from a property does not exceed 1% of our total income from the property, the services will not disqualify any other income from the property that qualifies as rents from real property, but the impermissible tenant service income will not qualify as rents from real property. </w:t>
      </w:r>
    </w:p>
    <w:p>
      <w:pPr>
        <w:pStyle w:val="TextBody"/>
        <w:bidi w:val="0"/>
        <w:spacing w:before="240" w:after="0"/>
        <w:jc w:val="left"/>
        <w:rPr>
          <w:rFonts w:ascii="Times New Roman" w:hAnsi="Times New Roman"/>
          <w:sz w:val="20"/>
        </w:rPr>
      </w:pPr>
      <w:r>
        <w:rPr>
          <w:rFonts w:ascii="Times New Roman" w:hAnsi="Times New Roman"/>
          <w:sz w:val="20"/>
        </w:rPr>
        <w:t xml:space="preserve">If we fail to satisfy one or both of the 75% or 95% gross income tests for any taxable year, we may nevertheless qualify as a REIT for that year if we are entitled to relief under the Code. These relief provisions generally will be available if our failure to meet the tests is due to reasonable cause and not due to willful neglect, we attached a schedule of the sources of our income to our federal income tax return, and any incorrect information on the schedule is not due to fraud with intent to evade tax. It is not possible, however, to state whether in all circumstances we would be entitled to the benefit of these relief provisions. For example, if we fail to satisfy the gross income tests because nonqualifying income that we intentionally incur unexpectedly exceeds the limits on nonqualifying income, the IRS could conclude that the failure to satisfy the tests was not due to reasonable cause. If these relief provisions are inapplicable to a particular set of circumstances involving us, we will fail to qualify as a REIT. As discussed under “—Classification and Taxation of The Macerich Company as a REIT,” even if these relief provisions apply, a tax would be imposed based on the amount of nonqualifying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Asset Tests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At the close of each quarter of our taxable year, we must satisfy five tests relating to the nature of our assets: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75% of the value of our total assets must consist of real estate assets, cash and cash items (including receivables arising in the ordinary course of our business) and government securities. Real estate assets include (1) real property (including interests in real property and interests in mortgages on real property or on interests in real property), (2) shares in other qualifying REITs, (3) debt instruments issued by publicly offered REITs and (4) any property (not otherwise a real estate asset) attributable to the temporary investment of “new capital” in stock or a debt instrument, but only for the one-year period beginning on the date we received the new capital. Property will qualify as being attributable to the temporary investment of new capital if the money used to purchase the stock or debt instrument is received by us in exchange for our stock or in a public offering of debt obligations that have a maturity of at least five years;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our total assets may be represented by securities other than those in the 75% asset class;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equity investments in REITs, qualified REIT subsidiaries, other securities that qualify as “real estate assets” for purposes of the test described in clause (1) or securities of our taxable REIT subsidiaries: the value of any one issuer’s securities owned by us may not exceed 5% of the value of our total assets; we may not own more than 10% of any one issuer’s outstanding voting securities; and we may not own more than 10% of the value of the outstanding securities of any one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our total assets may be represented by securities of one or more taxable REIT subsidiaries;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the value of our total assets may be represented by debt instruments of publicly offered REITs that are not secured by mortgages on real property or interests in real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for purposes of the asset tests may include debt securities. However, the 10% value test does not apply to certain “straight debt” and other excluded securities, as described in the Code including, but not limited to, any loan to an individual or estate, any obligation to pay rents from real property and any security issued by a REIT. In addition, (a) a REIT’s interest as a partner in a partnership is not considered a security for purposes of applying the 10% value test to securities issued by the partnership; (b) any debt instrument issued by a partnership (other than straight debt or another excluded security) will not be considered a security issued by the partnership if at least 75% of the partnership’s gross income is derived from sources that would qualify for the 75% REIT gross income test; and (c) any debt instrument issued by a partnership (other than straight debt or another excluded security) will not be considered a security issued by the partnership to the extent of the REIT’s interest as a partner in the partnership. In general, straight debt is defined as a written, unconditional promise to pay on demand or at a specific date a fixed principal amount, and the interest rate and payment dates on the debt must not be contingent on profits or the discretion of the debtor. In addition, straight debt may not contain a convertibility feature. </w:t>
      </w:r>
    </w:p>
    <w:p>
      <w:pPr>
        <w:pStyle w:val="TextBody"/>
        <w:bidi w:val="0"/>
        <w:spacing w:before="240" w:after="0"/>
        <w:jc w:val="left"/>
        <w:rPr>
          <w:rFonts w:ascii="Times New Roman" w:hAnsi="Times New Roman"/>
          <w:sz w:val="20"/>
        </w:rPr>
      </w:pPr>
      <w:r>
        <w:rPr>
          <w:rFonts w:ascii="Times New Roman" w:hAnsi="Times New Roman"/>
          <w:sz w:val="20"/>
        </w:rPr>
        <w:t xml:space="preserve">After initially meeting the asset tests at the close of any quarter, we will not lose our status as a REIT if we fail to satisfy the asset tests at the end of a later quarter solely by reason of changes in the relative values of our assets (including changes in relative values as a result of fluctuations in foreign currency exchange rates). If the failure to satisfy the asset tests results from an acquisition of securities or other property during a quarter, the failure can be cured by disposition of sufficient non-qualifying assets within 30 days after the close of that quarter. If we fail the 5% asset test or the 10% asset test at the end of any quarter, and such failure is not cured within 30 days thereafter, we may dispose of sufficient assets or otherwise satisfy the requirements of such asset tests within six months after the last day of the quarter in which our identification of the failure to satisfy those asset tests occurred to cure the violation, provided that the non-permitted assets do not exceed the lesser of 1% of the total value of our assets at the end of the relevant quarter or $10,000,000. If we fail any of the other asset tests, or our failure of the 5% and 10% asset tests is in excess of this amount, as long as the failure was due to reasonable cause and not willful neglect and, following our identification of the failure, we filed a schedule in accordance with the Treasury Regulations describing each asset that caused the failure, we are permitted to avoid disqualification as a REIT, after the thirty-day cure period, by taking steps to satisfy the requirements of the applicable asset test within six months after the last day of the quarter in which our identification of the failure to satisfy the REIT asset test occurred, including the disposition of sufficient assets to meet the asset tests and paying a tax equal to the greater of $50,000 or the product of (x) the net income generated by the nonqualifying assets during the period in which we failed to satisfy the relevant asset test and (y) the highest U.S. federal income tax rate then applicable to U.S. corporations.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Distribution Requirements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To qualify as a REIT, we are required to distribute dividends, other than capital gain dividends, to our stockholders each year in an amount at least equal to (1) the sum of (a) 90% of our REIT taxable income, computed without regard to the dividends paid deduction and our net capital gain and (b) 90% of the excess of the net income from foreclosure property over the tax imposed on such income, minus (2) the sum of certain specified items of noncash income. In addition, if we recognize any built-in gain, we will be required, under Treasury regulations, to distribute at least 90% of the built-in gain, after tax, recognized on the disposition of the applicable asset. We also cannot have at the end of any taxable year any undistributed earnings and profits that are attributable to a non-REIT taxable year. See “—Classification and Taxation of The Macerich Company as a REIT” above for a discussion of the possible recognition of built-in gain.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distributions must be paid either in the taxable year to which they relate, or in the following taxable year if declared before we timely file our tax return for the prior year and if paid with or before the first regular dividend payment date after the declaration is made.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we, from time to time, may not have sufficient cash or other liquid assets to satisfy the foregoing distribution requirements due to timing differences between (a) the actual receipt of income and the actual payment of deductible expenses and (b) the inclusion of such income and the deduction of such expenses in arriving at our taxable income, or as a result of nondeductible expenses such as principal amortization, repayment of debt or capital expenditures in excess of noncash deductions such as depreciation. In the event that such timing differences occur, we may find it necessary to arrange for borrowings or, if possible, pay taxable stock dividends in order to meet the dividend requirement and/or to avoid income and excise taxation. </w:t>
      </w:r>
    </w:p>
    <w:p>
      <w:pPr>
        <w:pStyle w:val="TextBody"/>
        <w:bidi w:val="0"/>
        <w:spacing w:before="240" w:after="0"/>
        <w:jc w:val="left"/>
        <w:rPr>
          <w:rFonts w:ascii="Times New Roman" w:hAnsi="Times New Roman"/>
          <w:sz w:val="20"/>
        </w:rPr>
      </w:pPr>
      <w:r>
        <w:rPr>
          <w:rFonts w:ascii="Times New Roman" w:hAnsi="Times New Roman"/>
          <w:sz w:val="20"/>
        </w:rPr>
        <w:t xml:space="preserve">Under some circumstances, we may be able to rectify a failure to meet the distribution requirement for a year by paying dividends to stockholders in a later year, which may be included in our deduction for dividends paid for the earlier year. We will refer to such dividends as “deficiency dividends.” Thus, we may be able to avoid being taxed on amounts distributed as deficiency dividends. We will, however, be required to pay interest based upon the amount of any deduction taken for deficiency dividends.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do not distribute (and are not deemed to have distributed) all of our net capital gain or distribute at least 90%, but less than 100%, of our REIT taxable income, as adjusted, we are subject to tax on these retained amounts at regular corporate tax rates. </w:t>
      </w:r>
    </w:p>
    <w:p>
      <w:pPr>
        <w:pStyle w:val="TextBody"/>
        <w:bidi w:val="0"/>
        <w:spacing w:before="240" w:after="0"/>
        <w:jc w:val="left"/>
        <w:rPr>
          <w:rFonts w:ascii="Times New Roman" w:hAnsi="Times New Roman"/>
          <w:sz w:val="20"/>
        </w:rPr>
      </w:pPr>
      <w:r>
        <w:rPr>
          <w:rFonts w:ascii="Times New Roman" w:hAnsi="Times New Roman"/>
          <w:sz w:val="20"/>
        </w:rPr>
        <w:t xml:space="preserve">We will be subject to a 4% excise tax on the excess of the required distribution over the sum of amounts actually distributed and amounts retained for which federal income tax was paid, if we fail to distribute during each calendar year at least the sum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85% of our REIT ordinary income for the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95% of our REIT capital gain net income for the year;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undistributed taxable income from prior taxable years.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REIT may elect to retain rather than distribute all or a portion of its net capital gains and pay the tax on the gains. In that case, a REIT may elect to have its stockholders include their proportionate share of the undistributed net capital gains in income as long-term capital gains and receive a credit for their share of the tax paid by the REIT. For purposes of the 4% excise tax described above, any retained amounts would be treated as having been distributed.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Prohibited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Net income derived from prohibited transactions is subject to a 100% tax. The term “prohibited transactions” generally includes a sale or other disposition of property (other than foreclosure property) that is held primarily for sale to customers in the ordinary course of a trade or business. Whether property is held “primarily for sale to customers in the ordinary course of a trade or business” depends on the specific facts and circumstances. The Code provides a safe harbor pursuant to which sales of properties held for at least two years and meeting certain additional requirements will not be treated as prohibited transactions, but compliance with the safe harbor may not always be practical. Moreover, the character of REIT dividends attributable to gain from assets that comply with the foregoing safe harbor as ordinary income or capital gain must still be determined pursuant to the specific facts and circumstances. No assurance can be given that any particular property in which we hold a direct or indirect interest will not be treated as property held for sale to customers, or that the safe-harbor provisions will apply.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Foreclosure Property </w:t>
      </w:r>
    </w:p>
    <w:p>
      <w:pPr>
        <w:pStyle w:val="TextBody"/>
        <w:bidi w:val="0"/>
        <w:spacing w:before="120" w:after="0"/>
        <w:jc w:val="left"/>
        <w:rPr>
          <w:rFonts w:ascii="Times New Roman" w:hAnsi="Times New Roman"/>
          <w:sz w:val="20"/>
        </w:rPr>
      </w:pPr>
      <w:r>
        <w:rPr>
          <w:rFonts w:ascii="Times New Roman" w:hAnsi="Times New Roman"/>
          <w:sz w:val="20"/>
        </w:rPr>
        <w:t xml:space="preserve">Foreclosure property is real property (including interests in real property) and any personal property incident to such real property (1) that is acquired by a REIT as a result of the REIT having bid in the property at foreclosure, or having otherwise reduced the property to ownership or possession by agreement or process of law, after there was a default (or default was imminent) on a lease of the property or a mortgage loan held by the REIT and secured by the property, (2) for which the related loan or lease was made, entered into or acquired by the REIT at a time when default was not imminent or anticipated and (3) for which such REIT makes an election to treat the property as foreclosure property. REITs generally are subject to tax at the maximum corporate rate on any net income from foreclosure property, including any gain from the disposition of the foreclosure property and certain foreign currency gain attributable to foreclosure property, other than income that would otherwise be qualifying income for purposes of the 75% gross income test and net of any directly related deductions. Any gain from the sale of property for which a foreclosure property election has been made will not be subject to the 100% tax on gains from prohibited transactions described above, even if the property is held primarily for sale to customers in the ordinary course of a trade or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Hedging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may enter into hedging transactions with respect to one or more of our assets or liabilities. Hedging transactions could take a variety of forms, including interest rate swaps or cap agreements, options, futures contracts, forward rate agreements or similar financial instruments. Except to the extent provided by Treasury Regulations, any income from a hedging transaction made in the normal course of our business (i) primarily to manage risk of interest rate or price changes or currency fluctuations with respect to borrowings made or to be made, or ordinary obligations incurred or to be incurred by us to acquire or own real estate assets, (ii) primarily to manage the risk of currency fluctuations with respect to any item of income or gain that would be qualifying income under the 75% or 95% income tests (or any property which generates such income or gain), or (iii) that hedges against transactions described in clause (i) or (ii) and is entered into in connection with the extinguishment of debt or sale of property that is being hedged against by the transaction described in clause (i) or (ii), in each case which is clearly identified as such before the close of the day on which it was acquired, originated or entered into (after taking into account certain cure provisions), including gain from the disposition of such a transaction, will not constitute gross income for purposes of the 75% or 95% gross income tests. To the extent we enter into other types of hedging transactions, the income from those transactions is likely to be treated as non-qualifying income for purposes of both the 75% and 95% gross income tests.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Allocations with Respect to Contributed Properties.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704(c) of the Code, income, gain, loss and deduction attributable to 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the unrealized gain or unrealized loss is generally equal to the difference between the fair market value of contributed property at the time of contribution, and the adjusted tax basis of the property at the time of contribution (a “Book-Tax Difference”). These allocations are solely for U.S. federal income tax purposes and do not affect the book capital accounts or other economic or legal arrangements among the partners. The Operating Partnership was formed principally by way of contributions of appreciated property. Consequently, the partnership agreement of the Operating Partnership requires these allocations to be made in a manner consistent with Section 704(c)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general, the limited partners of the Operating Partnership who contributed properties to it will be allocated lower amounts of depreciation deductions for tax purposes and increased taxable income and gain on sale by the Partnerships of the contributed assets. This will tend to eliminate the Book-Tax Difference over the life of the Partnerships. However, the special allocation rules of Section 704(c) of the Code do not always rectify the Book-Tax Difference on an annual basis or with respect to a specific taxable transaction such as a sale. Under the applicable Treasury regulations, special allocations of income and gain and depreciation deductions must be made on a property-by-property basis. Depreciation deductions resulting from the carryover basis of a contributed property are used to eliminate the Book-Tax Difference by allocating these deductions to the non-contributing partners (i.e., the REIT and the other non-contributing partners) up to the amount of their share of book depreciation. Any remaining tax depreciation for the contributed property would be allocated to the partners that contributed the property. The Operating Partnership intends to (but may not always) elect the traditional method of rectifying the Book-Tax Difference under the applicable Treasury regulations, under which, if depreciation deductions are less than the non-contributing partners’ share of book depreciation, then the non-contributing partners lose the benefit of these deductions (the “ceiling rule”). The application of the ceiling rule increases the likelihood we will recognize taxable income in excess of cash proceeds in our capacity as a partner of the Operating Partnership, which might adversely affect our ability to comply with the REIT distribution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Failure of The Macerich Company to Qualify as a REIT </w:t>
      </w:r>
    </w:p>
    <w:p>
      <w:pPr>
        <w:pStyle w:val="TextBody"/>
        <w:bidi w:val="0"/>
        <w:spacing w:before="120" w:after="0"/>
        <w:jc w:val="left"/>
        <w:rPr>
          <w:rFonts w:ascii="Times New Roman" w:hAnsi="Times New Roman"/>
          <w:sz w:val="20"/>
        </w:rPr>
      </w:pPr>
      <w:r>
        <w:rPr>
          <w:rFonts w:ascii="Times New Roman" w:hAnsi="Times New Roman"/>
          <w:sz w:val="20"/>
        </w:rPr>
        <w:t xml:space="preserve">In the event we violate a provision of the Code that would result in our failure to qualify as a REIT, specified relief provisions will be available to us to avoid such disqualification if (1) the violation is due to reasonable cause and not willful neglect, (2) we pay a penalty of $50,000 for each failure to satisfy the provision and (3) the violation does not include a violation under the gross income or asset tests described above (for which other specified relief provisions are available). This cure provision reduces the instances that could lead to our disqualification as a REIT for violations due to reasonable cause. If we fail to qualify for taxation as a REIT in any taxable year, and the relief provisions of the Code do not apply, we will be subject to tax on our taxable income at regular corporate rates. Distributions to our stockholders in any year in which we are not a REIT will not be deductible by us, nor will they be required to be made. In this situation, to the extent of current and accumulated earnings and profits, and, subject to limitations of the Code, distributions to our stockholders will generally be taxable to stockholders who are individual U.S. stockholders at a preferential rate, and dividends received by our corporate U.S. stockholders may be eligible for the dividends received deduction. Unless we are entitled to relief under specific statutory provisions, we will also be disqualified from re-electing to be taxed as a REIT for the four taxable years following a year during which qualification was lost. It is not possible to state whether, in all circumstances, we will be entitled to this statutory relief.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Stockholders and Potential Tax Consequences of Their Investment in Shares of Common Stock or Preferred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Taxation of Taxable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term “U.S. stockholder” means a holder of shares of our common stock or preferred stock who, for United States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(including an entity treated as a corporation for United States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 if (1) a United States court is able to exercise primary supervision over the administration of such trust and one or more United States persons have the authority to control all substantial decisions of the trust or (2) it has a valid election in place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“non-U.S. stockholder” shall refer to any owners of our common or preferred stock that are nonresident alien individuals or non-U.S. corporations.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an entity treated as a partnership for federal income tax purposes holds our stock, the federal income tax treatment of a partner in the partnership will generally depend on the status of the partner and the activities of the partnership. If you are a partner in a partnership holding our common stock or preferred stock, you should consult your own tax advisor regarding the consequences of the ownership and disposition of shares of our stock by the partnership.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As long as we qualify as a REIT, a taxable U.S. stockholder must generally take into account as ordinary income distributions made out of current or accumulated earnings and profits that we do not designate as capital gain dividends. Distributions on our preferred stock will be treated as made out of any available earnings and profits in priority to distributions on our common stock. Dividends paid to a non-corporate U.S. stockholder generally will not qualify for the preferential tax rate for “qualified dividend income.” However, for taxable years beginning after December 31, 2017, and subject to certain limitations, non-corporate taxpayers may deduct up to 20% of certain qualified business income, including “qualified REIT dividends.” Qualified REIT dividends eligible for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deduction generally will include dividends paid by us that are not designated as capital gain dividends and that are not qualified dividend income. Qualified dividend income generally includes dividends paid to most United States non-corporate taxpayers by domestic C corporations and certain qualified foreign corporations. Because we are not generally subject to United States federal income tax on the portion of our REIT taxable income distributed to our stockholders, our dividends generally will not be eligible for the preferential rate on qualified dividend income. As a result, our ordinary REIT dividends will continue to be taxed at the higher tax rate applicable to ordinary income. However, the preferential tax rate for qualified dividend income will apply to our ordinary REIT dividends (1) attributable to dividends received by us from taxable corporations, such as our taxable REIT subsidiaries, and (2) to the extent attributable to income upon which we have paid corporate income tax (e.g., to the extent that we distribute less than 100% of our taxable income). In general, to qualify for the reduced tax rate on qualified dividend income, a stockholder must hold our stock for more than 60 days during the 121-day period beginning on the date that is 60 days before the date on which our stock becomes ex-dividend. Dividends paid to a corporate U.S. stockholder will not qualify for the dividends received deduction generally available to corporations. If we declare a distribution in October, November, or December of any year that is payable to a U.S. stockholder of record on a specified date in any such month, such distribution will be treated as both paid by us and received by the U.S. stockholder on December 31 of such year, provided that we actually pay the distribution during January of the following calendar year. </w:t>
      </w:r>
    </w:p>
    <w:p>
      <w:pPr>
        <w:pStyle w:val="TextBody"/>
        <w:bidi w:val="0"/>
        <w:spacing w:before="240" w:after="0"/>
        <w:jc w:val="left"/>
        <w:rPr>
          <w:rFonts w:ascii="Times New Roman" w:hAnsi="Times New Roman"/>
          <w:sz w:val="20"/>
        </w:rPr>
      </w:pPr>
      <w:r>
        <w:rPr>
          <w:rFonts w:ascii="Times New Roman" w:hAnsi="Times New Roman"/>
          <w:sz w:val="20"/>
        </w:rPr>
        <w:t xml:space="preserve">Distributions from us that are designated as capital gain dividends will be taxed to U.S. stockholders as long-term capital gains, to the extent that they do not exceed our actual net capital gain for the taxable year, without regard to the period for which the U.S. stockholder has held its stock. Corporate U.S. stockholders may be required to treat up to 20% of some capital gain dividends as ordinary income. Capital gains dividends attributable to the sale of depreciable real property held for more than 12 months are generally subject to a 25% U.S. federal income tax rate for U.S. stockholders who are individuals, to the extent of previously claimed depreciation deductions. </w:t>
      </w:r>
    </w:p>
    <w:p>
      <w:pPr>
        <w:pStyle w:val="TextBody"/>
        <w:bidi w:val="0"/>
        <w:spacing w:before="240" w:after="0"/>
        <w:jc w:val="left"/>
        <w:rPr>
          <w:rFonts w:ascii="Times New Roman" w:hAnsi="Times New Roman"/>
          <w:sz w:val="20"/>
        </w:rPr>
      </w:pPr>
      <w:r>
        <w:rPr>
          <w:rFonts w:ascii="Times New Roman" w:hAnsi="Times New Roman"/>
          <w:sz w:val="20"/>
        </w:rPr>
        <w:t xml:space="preserve">We may elect to retain and pay income tax on the net long-term capital gain that we receive in a taxable year. In that case, we may elect to designate the retained amount as a capital gain dividend with the result that a U.S. stockholder would be taxed on its proportionate share of our undistributed long-term capital gain. The U.S. stockholder would receive a credit or refund for its proportionate share of the tax we paid. The U.S. stockholder would increase the basis in its common stock by the amount of its proportionate share of our undistributed long-term capital gain, minus its share of the tax we paid. </w:t>
      </w:r>
    </w:p>
    <w:p>
      <w:pPr>
        <w:pStyle w:val="TextBody"/>
        <w:bidi w:val="0"/>
        <w:spacing w:before="240" w:after="0"/>
        <w:jc w:val="left"/>
        <w:rPr>
          <w:rFonts w:ascii="Times New Roman" w:hAnsi="Times New Roman"/>
          <w:sz w:val="20"/>
        </w:rPr>
      </w:pPr>
      <w:r>
        <w:rPr>
          <w:rFonts w:ascii="Times New Roman" w:hAnsi="Times New Roman"/>
          <w:sz w:val="20"/>
        </w:rPr>
        <w:t xml:space="preserve">A U.S. stockholder will not incur tax on a distribution in excess of our current and accumulated earnings and profits if the excess portion of the distribution does not exceed the adjusted basis of the U.S. stockholder’s stock. Instead, the distribution will reduce the adjusted basis of such stock. A U.S. stockholder will recognize gain upon a distribution in excess of both our current and accumulated earnings and profits and the U.S. stockholder’s adjusted basis in his or her stock as long-term capital gain, or short-term capital gain, if the shares of stock have been held for one year or less. </w:t>
      </w:r>
    </w:p>
    <w:p>
      <w:pPr>
        <w:pStyle w:val="TextBody"/>
        <w:bidi w:val="0"/>
        <w:spacing w:before="240" w:after="0"/>
        <w:jc w:val="left"/>
        <w:rPr>
          <w:rFonts w:ascii="Times New Roman" w:hAnsi="Times New Roman"/>
          <w:sz w:val="20"/>
        </w:rPr>
      </w:pPr>
      <w:r>
        <w:rPr>
          <w:rFonts w:ascii="Times New Roman" w:hAnsi="Times New Roman"/>
          <w:sz w:val="20"/>
        </w:rPr>
        <w:t xml:space="preserve">Stockholders may not include in their individual income tax returns any of our net operating losses or capital losses. Instead, these losses are generally carried over by us for potential offset against our future income. Taxable distributions from us and gain from the disposition of our common stock will not be treated as passive activity income and, therefore, stockholders generally will not be able to apply any “passive activity losses,” such as losses from certain types of limited partnerships in which the stockholder is a limited partner, against such income. In addition, taxable distributions from us and gain from the disposition of our common stock generally will be treated as investment income for purposes of the investment interest limitations. We will notify stockholders after the close of our taxable year as to the portions of the distributions attributable to that year that constitute ordinary income, return of capital, and capital gain. Ordinary income and capital gain must be allocated proportionately among taxable dividends on both our preferred stock and common stock. </w:t>
      </w:r>
    </w:p>
    <w:p>
      <w:pPr>
        <w:pStyle w:val="TextBody"/>
        <w:bidi w:val="0"/>
        <w:spacing w:before="240" w:after="0"/>
        <w:jc w:val="left"/>
        <w:rPr>
          <w:rFonts w:ascii="Times New Roman" w:hAnsi="Times New Roman"/>
          <w:sz w:val="20"/>
        </w:rPr>
      </w:pPr>
      <w:r>
        <w:rPr>
          <w:rFonts w:ascii="Times New Roman" w:hAnsi="Times New Roman"/>
          <w:i/>
          <w:sz w:val="20"/>
        </w:rPr>
        <w:t>Dispositions of Stock</w:t>
      </w:r>
      <w:r>
        <w:rPr>
          <w:rFonts w:ascii="Times New Roman" w:hAnsi="Times New Roman"/>
          <w:sz w:val="20"/>
        </w:rPr>
        <w:t xml:space="preserve">. In general, a U.S. stockholder who is not a dealer in securities must treat any gain or loss realized upon a taxable disposition of our stock as long-term capital gain or loss if the U.S. stockholder has held our stock for more than one year. Otherwise, the U.S. stockholder must treat any such gain or loss as short-term capital gain or loss. However, a U.S. stockholder must treat any loss upon a sale or exchange of our stock held by such stockholder for six months or less as a long-term capital loss to the extent of capital gain dividends and any other actual or deemed distributions from us that such U.S. stockholder treats as long-term capital gain. All or a portion of any loss that a U.S. stockholder realizes upon a taxable disposition of our common stock or preferred stock may be disallowed if the U.S. stockholder repurchases our common stock or preferred stock within 30 days before or after the disposition. </w:t>
      </w:r>
    </w:p>
    <w:p>
      <w:pPr>
        <w:pStyle w:val="TextBody"/>
        <w:bidi w:val="0"/>
        <w:spacing w:before="240" w:after="0"/>
        <w:jc w:val="left"/>
        <w:rPr>
          <w:rFonts w:ascii="Times New Roman" w:hAnsi="Times New Roman"/>
          <w:sz w:val="20"/>
        </w:rPr>
      </w:pPr>
      <w:r>
        <w:rPr>
          <w:rFonts w:ascii="Times New Roman" w:hAnsi="Times New Roman"/>
          <w:sz w:val="20"/>
        </w:rPr>
        <w:t xml:space="preserve">A redemption by us of any redeemable preferred stock we may issue could be treated either as a taxable disposition of shares or as a dividend, depending on the applicable facts and circumstances. In the event we issue any redeemable preferred stock, the Prospectus Supplement will discuss the tax consequences of owning such securities in greater detail.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Capital Gains and Losses</w:t>
      </w:r>
      <w:r>
        <w:rPr>
          <w:rFonts w:ascii="Times New Roman" w:hAnsi="Times New Roman"/>
          <w:sz w:val="20"/>
        </w:rPr>
        <w:t xml:space="preserve">. The tax rate differential between capital gain and ordinary income for non-corporate taxpayers may be significant. A taxpayer generally must hold a capital asset for more than one year for gain or loss derived from its sale or exchange to be treated as long-term capital gain or loss. The highest marginal individual income tax rate is currently 37%. The maximum tax rate on long-term capital gains applicable to non-corporate taxpayers is 20% for sales and exchanges of capital assets held for more than one year (subject to the Medicare tax discussed below). The maximum tax rate on long-term capital gain from the sale or exchange of “section 1250 property,” or depreciable real property, is generally 25% to the extent of previously claimed depreciation deductions (“Unrecaptured Section 1250 Gains”). With respect to distributions that we designate as capital gain dividends and any retained capital gain that we are deemed to distribute, we generally may designate whether such a distribution is taxable to our non-corporate stockholders as long term capital gains or Unrecaptured Section 1250 Gains. In addition, the characterization of income as capital gain or ordinary income may affect the deductibility of capital losses. A non-corporate taxpayer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(currently up to 21%). A corporate taxpayer can deduct capital losses only to the extent of capital gains, with unused losses being carried back three years and forward five years. </w:t>
      </w:r>
    </w:p>
    <w:p>
      <w:pPr>
        <w:pStyle w:val="TextBody"/>
        <w:bidi w:val="0"/>
        <w:spacing w:before="240" w:after="0"/>
        <w:jc w:val="left"/>
        <w:rPr>
          <w:rFonts w:ascii="Times New Roman" w:hAnsi="Times New Roman"/>
          <w:sz w:val="20"/>
        </w:rPr>
      </w:pPr>
      <w:r>
        <w:rPr>
          <w:rFonts w:ascii="Times New Roman" w:hAnsi="Times New Roman"/>
          <w:sz w:val="20"/>
        </w:rPr>
        <w:t xml:space="preserve">If a U.S. stockholder recognizes a loss upon a subsequent disposition of our common stock in an amount that exceeds a prescribed threshold, it is possible that the provisions of certain Treasury Regulations involving “reportable transactions” could apply, with a resulting requirement to separately disclose the loss generating transactions to the IRS. While these regulations are directed towards “tax shelters,” they are written quite broadly, and apply to transactions that would not typically be considered tax shelters. Significant penalties apply for failure to comply with these requirements. You should consult your tax advisors concerning any possible disclosure obligation with respect to the receipt or disposition of our common stock, or transactions that might be undertaken directly or indirectly by us. Moreover, you should be aware that we and other participants in transactions involving us (including our advisors) might be subject to disclosure or other requirements pursuant to these regulations. </w:t>
      </w:r>
    </w:p>
    <w:p>
      <w:pPr>
        <w:pStyle w:val="TextBody"/>
        <w:bidi w:val="0"/>
        <w:spacing w:before="240" w:after="0"/>
        <w:jc w:val="left"/>
        <w:rPr>
          <w:rFonts w:ascii="Times New Roman" w:hAnsi="Times New Roman"/>
          <w:sz w:val="20"/>
        </w:rPr>
      </w:pPr>
      <w:r>
        <w:rPr>
          <w:rFonts w:ascii="Times New Roman" w:hAnsi="Times New Roman"/>
          <w:i/>
          <w:sz w:val="20"/>
        </w:rPr>
        <w:t>Medicare Tax</w:t>
      </w:r>
      <w:r>
        <w:rPr>
          <w:rFonts w:ascii="Times New Roman" w:hAnsi="Times New Roman"/>
          <w:sz w:val="20"/>
        </w:rPr>
        <w:t xml:space="preserve">. A U.S. person that is an individual is subject to a 3.8% tax on the lesser of (1) the U.S. person’s “net investment income” for the relevant taxable year and (2) the excess of the U.S. person’s modified adjusted gross income for the taxable year over a certain threshold (which will be between $125,000 and $250,000, depending on the individual’s circumstances). Estates and trusts that do not fall into a special class of trusts that is exempt from such tax are subject to the same 3.8% tax on the lesser of their undistributed net investment income and the excess of their adjusted gross income over a certain threshold. Net investment income generally would include dividends on our stock and gain from the sale of our stock. If you are a U.S. person that is an individual, estate or trust, you are urged to consult your tax advisors regarding the applicability of this tax to your income and gains in respect of your investment in our common or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We will report to our stockholders and to the IRS the amount of distributions we pay during each calendar year, and the amount of tax we withhold, if any. Under the backup withholding rules, a stockholder may be subject to backup withholding at a rate of up to 24% with respect to distributions unless the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corporation or comes within certain other exempt categories and, when required, demonstrates this fact;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a taxpayer identification number, certifies as to no loss of exemption from backup withholding, and otherwise complies with the applicable requirements of the backup withholding rules.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stockholder who does not provide us with its correct taxpayer identification number also may be subject to penalties imposed by the IRS. Any amount paid as backup withholding will be creditable against the stockholder’s income tax liability. In addition, we may be required to withhold a portion of any dividends or capital gain distributions to any stockholders who fail to certify their non-foreign status to us. For a discussion of the backup withholding rules as applied to non-U.S. stockholders, see “—Taxation of Non-U.S.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Tax-Exempt Stockholders </w:t>
      </w:r>
    </w:p>
    <w:p>
      <w:pPr>
        <w:pStyle w:val="TextBody"/>
        <w:bidi w:val="0"/>
        <w:spacing w:before="120" w:after="0"/>
        <w:jc w:val="left"/>
        <w:rPr>
          <w:rFonts w:ascii="Times New Roman" w:hAnsi="Times New Roman"/>
          <w:sz w:val="20"/>
        </w:rPr>
      </w:pPr>
      <w:r>
        <w:rPr>
          <w:rFonts w:ascii="Times New Roman" w:hAnsi="Times New Roman"/>
          <w:sz w:val="20"/>
        </w:rPr>
        <w:t xml:space="preserve">Tax-exempt entities, including qualified employee pension and profit sharing trusts and individual retirement accounts, generally are exempt from federal income taxation. However, they are subject to taxation on their unrelated business taxable income. While many investments in real estate generate unrelated business taxable income, the IRS has issued a ruling that dividend distributions from a REIT to an exempt employee pension trust do not constitute unrelated business taxable income so long as the exempt employee pension trust does not otherwise use the stock of the REIT in an unrelated trade or business of the pension trust. Based on that ruling, amounts that we distribute to tax-exempt stockholders generally should not constitute unrelated business taxable income. However, if a tax-exempt stockholder were to finance its acquisition of common stock or preferred stock with debt, a portion of the income that it receives from us would constitute unrelated business taxable income pursuant to the “debt-financed property” rules. Furthermore, social clubs, voluntary employee benefit associations, and supplemental unemployment benefit trusts that are exempt from taxation under special provisions of the federal income tax laws are subject to different unrelated business taxable income rules, which generally will require them to characterize distributions that they receive from us as unrelated business taxable income. Finally, in certain circumstances, a qualified employee pension or profit sharing trust that owns more than 10% of our stock must treat a percentage of the dividends that it receives from us as unrelated business taxable income. Such percentage is equal to the gross income we derive from an unrelated trade or business, determined as if we were a pension trust, divided by our total gross income for the year in which we pay the dividends. That rule applies to a pension trust holding more than 10% of our shares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our dividends that the tax-exempt trust must treat as unrelated business taxable income is at least 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qualify as a REIT by reason of the modification of the rule requiring that no more than 50% of the value of our stock be owned by five or fewer individuals that allows the beneficiaries of the pension trust to be treated as holding our stock in proportion to their actuarial interests in the pension trust;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(a) one pension trust owns more than 25% of the value of our stock; or (b) a group of pension trusts individually holding more than 10% of the value of our stock collectively owns more than 50% of the value of our stock.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Non-U.S.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United States federal income taxation of nonresident alien individuals and non-U.S. corporations are complex. This section is only a summary of such rules. We urge such non-U.S. stockholders to consult their own tax advisors to determine the impact of federal, state, and local income tax laws on ownership of our stock, including any reporting requirements.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A non-U.S. stockholder who receives a distribution that is not attributable to gain from our sale or exchange of United States real property interests (“USRPIs”), as defined below, and that we do not designate as a capital gain dividend or retained capital gain will, to the extent that we pay the distribution out of our current or accumulated earnings and profits, be subject to a withholding tax equal to 30% of the gross amount of the dividend unless an applicable tax treaty reduces or eliminates the tax. Under some treaties, lower withholding taxes do not apply, or do not apply as favorably, to dividends from REITs. However, if a distribution is treated as effectively connected with the non-U.S. stockholder’s conduct of a United States trade or business (through a U.S. permanent establishment, if the non-U.S. stockholder is entitled to the benefits of an applicable tax treaty and such tax treaty so requires as a condition for taxation), the non-U.S. stockholder generally will not be subject to the 30% gross withholding tax but will be subject to federal income tax on the distribution at graduated rates, in the same manner as U.S. stockholders are taxed on distributions, and also may be subject to the 30% branch profits tax in the case of a corporate non-U.S. stockholder. We plan to withhold United States income tax at the rate of 30% on the gross amount of any distribution paid to a non-U.S. stockholder unless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lower treaty rate applies and the non-U.S. stockholder files an IRS Form W-8BEN or W-8BEN-E evidencing eligibility for that reduced rate with us;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stockholder files an IRS Form W-8ECI with us claiming that the distribution is effectively connected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withhold at a 15% rate on a distribution in excess of our current and accumulated earnings and profits. Non-U.S. stockholders may be entitled to a refund of any such withheld amounts in respect of distributions in excess of our current and accumulated earnings and profits and not in excess of such stockholder’s adjusted basis in its stock. A non-U.S. stockholder will be subject to tax on a distribution that exceeds both our current and accumulated earnings and profits and the adjusted basis of its stock, if the non-U.S. stockholder otherwise would be subject to tax on gain from the sale or disposition of its stock, as described below. Because we generally cannot determine at the time we make a distribution whether or not the distribution will exceed our current and accumulated earnings and profits, we normally will withhold tax on the entire amount of any distribution at the same rate as we would withhold on a dividend. We also may be required to withhold tax at the rate of 21% on the portion of any dividend to a non-U.S. stockholder that is or could be designated by us as a capital gain dividend, even if not attributable to gain on a sale or exchange of an interest in U.S. real property, unless it is paid to a withholding qualified holder (as defined below). In the event any of the foregoing withholding taxes exceeds a non-U.S. shareholder’s tax liability as determined under the Code, a non-U.S. stockholder may obtain a refund of amounts that we withheld. </w:t>
      </w:r>
    </w:p>
    <w:p>
      <w:pPr>
        <w:pStyle w:val="TextBody"/>
        <w:bidi w:val="0"/>
        <w:spacing w:before="240" w:after="0"/>
        <w:jc w:val="left"/>
        <w:rPr>
          <w:rFonts w:ascii="Times New Roman" w:hAnsi="Times New Roman"/>
          <w:sz w:val="20"/>
        </w:rPr>
      </w:pPr>
      <w:r>
        <w:rPr>
          <w:rFonts w:ascii="Times New Roman" w:hAnsi="Times New Roman"/>
          <w:sz w:val="20"/>
        </w:rPr>
        <w:t xml:space="preserve">Except as discussed below with respect to 10% or less holders or regularly traded classes of stock, for any year in which we qualify as a REIT, a non-U.S. stockholder will incur tax on distributions by us that are attributable to gain from our sale or exchange of USRPIs under special provisions of the United States federal income tax laws known as the Foreign Investment in Real Property Act (“FIRPTA”). The term USRPIs includes interests in real property and shares in corporations at least 50% of whose assets consist of interests in U.S. real property. Under those rules, a non-U.S. stockholder is taxed on distributions by us attributable to gain from sales of USRPIs as if the gain were effectively connected with a United States trade or business of the non-U.S. stockholder. A non-U.S. stockholder thus would be taxed on such a distribution at the normal capital gain or ordinary income rates (as applicable) applicable to U.S. stockholders, subject to applicable alternative minimum tax and a special alternative minimum tax in the case of a nonresident alien individual. A non-U.S. corporate stockholder not entitled to treaty relief or exemption also may be subject to the 30% branch profits tax on such a distribution. We must withhold 21% of any distribution that we could designate as a capital gain dividend. A non-U.S. stockholder may receive a credit against its tax liability for the amount we withhold. However, FIRPTA and the 21% withholding tax will not apply to any capital gain dividend with respect to any class of our stock which is regularly traded on an established securities market located in the United States if the recipient non-U.S. stockholder did not own more than 10% of such class of stock at any time during the one year period ending on the date of distribution. Instead, any capital gain dividend will be treated as an ordinary distribution subject to the rules discussed above, which generally impose a 30% withholding tax (unless reduced by a treaty). Also, the branch profits tax will not apply to such a distribution. Additionally, the withholding rules under FIRPTA will not apply to the extent the distribution is paid to a withholding qualified holder. A “withholding qualified holder” means a qualified holder (as defined below) and a foreign partnership all of the interests of which are held by qualified holders, including through one or more partnerships. </w:t>
      </w:r>
    </w:p>
    <w:p>
      <w:pPr>
        <w:pStyle w:val="TextBody"/>
        <w:bidi w:val="0"/>
        <w:spacing w:before="240" w:after="0"/>
        <w:jc w:val="left"/>
        <w:rPr>
          <w:rFonts w:ascii="Times New Roman" w:hAnsi="Times New Roman"/>
          <w:sz w:val="20"/>
        </w:rPr>
      </w:pPr>
      <w:r>
        <w:rPr>
          <w:rFonts w:ascii="Times New Roman" w:hAnsi="Times New Roman"/>
          <w:i/>
          <w:sz w:val="20"/>
        </w:rPr>
        <w:t>Dispositions of Stock</w:t>
      </w:r>
      <w:r>
        <w:rPr>
          <w:rFonts w:ascii="Times New Roman" w:hAnsi="Times New Roman"/>
          <w:sz w:val="20"/>
        </w:rPr>
        <w:t xml:space="preserve">. A non-U.S. stockholder generally will not incur tax under FIRPTA with respect to gain on a sale, exchange, repurchase, or other disposition of our stock as long as at all times during the five-year period ending on the date of disposition non-U.S. persons hold, directly or indirectly, less than 50% in value of our stock (in which case we will be considered a “domestically controlled REIT”). For these purposes, a person holding less than 5% of our regularly traded classes of stock for five years will be treated as a U.S. person unless we have actual knowledge that such person is not a U.S. person. We cannot assure you that our non-U.S. ownership will be less than 50% at any time. Even if our non-U.S. ownership remains under 50% for five years and we otherwise meet the requirements of this rule, pursuant to “certain wash sale” rules under FIRPTA, a non-U.S. stockholder may incur tax under FIRPTA to the extent such stockholder disposes of our stock within a certain period prior to a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attributable to USRPI gain and directly or indirectly (including through certain affiliates) reacquires our stock within certain prescribed periods, provided that this rule will not apply to a disposition and reacquisition of our common stock by a non-U.S. stockholder owning, actually or constructively, 5% or less of our common stock at any time during the one-year period ending on the date of such distribution attributable to USRPI gain. </w:t>
      </w:r>
    </w:p>
    <w:p>
      <w:pPr>
        <w:pStyle w:val="TextBody"/>
        <w:bidi w:val="0"/>
        <w:spacing w:before="240" w:after="0"/>
        <w:jc w:val="left"/>
        <w:rPr>
          <w:rFonts w:ascii="Times New Roman" w:hAnsi="Times New Roman"/>
          <w:sz w:val="20"/>
        </w:rPr>
      </w:pPr>
      <w:r>
        <w:rPr>
          <w:rFonts w:ascii="Times New Roman" w:hAnsi="Times New Roman"/>
          <w:sz w:val="20"/>
        </w:rPr>
        <w:t xml:space="preserve">Regardless of the extent of our non-U.S. ownership, a non-U.S. stockholder will not incur tax under FIRPTA on a disposition of the shares of our publicly traded stock if such non-U.S. stockholder owned, actually or constructively, at all times during a specified testing period, 10% or less of the total fair market value of such class of stock. The testing period is the shorter of (1) the period during which the non-U.S. stockholder held the shares and (2) the five-year period ending on the disposition date. For as long as our common stock is regularly traded on an established securities market, a non-U.S. stockholder should not incur tax under FIRPTA with respect to gain on a sale of our common stock unless it owns, actually or constructively, more than 10% of our common stock during such testing period. </w:t>
      </w:r>
    </w:p>
    <w:p>
      <w:pPr>
        <w:pStyle w:val="TextBody"/>
        <w:bidi w:val="0"/>
        <w:spacing w:before="240" w:after="0"/>
        <w:jc w:val="left"/>
        <w:rPr>
          <w:rFonts w:ascii="Times New Roman" w:hAnsi="Times New Roman"/>
          <w:sz w:val="20"/>
        </w:rPr>
      </w:pPr>
      <w:r>
        <w:rPr>
          <w:rFonts w:ascii="Times New Roman" w:hAnsi="Times New Roman"/>
          <w:sz w:val="20"/>
        </w:rPr>
        <w:t xml:space="preserve">If the gain on the sale of our stock were taxed under FIRPTA, a non-U.S. stockholder would be taxed on that gain in the same manner as U.S. stockholders subject to any applicable alternative minimum tax. Non-U.S. stockholders are urged to consult their own tax advisors as to whether they will be subject to tax under FIRPTA upon a disposition of our stock. Furthermore, a non-U.S. stockholder generally will incur U.S. federal income tax on gain not subject to FIRPTA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stockholder’s United States trade or business, in which case the non-U.S. stockholder will be subject to the same treatment as U.S. stockholders with respect to such gain and may be subject to the 30% branch profits tax;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stockholder is a nonresident alien individual who was present in the United States for 183 days or more during the taxable year and meets certain other criteria, in which case the non-U.S. stockholder will incur a 30% tax on his or her capital gains derived from sources within the United States (net of certain losses derived from sources within the United States), unless an applicable income tax treaty provides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our stock is held directly (or indirectly through one or more partnerships) by a “qualified shareholder,” it will not be treated as a USRPI for such qualified shareholder. Thus, gain from the sale or exchange of our stock (including distributions treated as gain from the sale or exchange of our stock) will not be subject to tax unless such gain is treated as effectively connected with the qualified shareholder’s conduct of a U.S. trade or business. Further, to the extent such treatment applies, any distribution to such shareholder will not be treated as gain recognized from the sale or exchange of a USRPI (provided that distributions attributable to gain from the sale of a USRPI shall be treated as ordinary distributions subject to the rules described under “—Dividends” above). For these purposes, a qualified shareholder is generally a non-U.S. stockholder that (i)(A) is eligible for treaty benefits under an income tax treaty with the United States that includes an exchange of information program, and the principal class of interests of which is listed and regularly traded on one or more stock exchanges as defined by the treaty, or (B) is a foreign limited partnership organized in a jurisdiction with an exchange of information agreement with the United States and that has a class of regularly traded limited partnership units (having a value greater than 50% of the value of all partnership units) on the NYSE or Nasdaq, (ii) is a “qualified collective investment vehicle” (within the meaning of Section 897(k) (3)(B) of the Code) and (iii) maintains records of persons holding 5% or more of the class of interests described in clauses (i)(A) or (i)(B) above. However, in the case of a qualified shareholder having one or more “applicable investors,” the exception described in the first sentence of this paragraph will not apply to the “applicable percentage” of the qualified shareholder’s stock (with “applicable percentage” generally meaning the percentage of the value of the interests in the qualified shareholder held by applicable investors after applying certain constructive ownership rules). The applicable percentage of the amount realized by a qualified shareholder on the disposition of our stock or with respect to a distribution from us attributable to gain from the sale or exchange of a USRPI will be treated as amounts realized from the disposition of USRPIs. Such treatment shall also apply to applicable investors in respect of distributions treated as a sale or exchange of stock with respect to a qualified shareholder. For these purposes, an “applicable investor” is a person (other than a qualified shareholder) who generally holds an interest in the qualified shareholder and holds more than 10% of our stock applying certain constructive ownership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general, for FIRPTA purposes, and subject to the discussion below regarding qualified holders, neither a qualified foreign pension fund (as defined below) nor any entity all of the interests of which are held by a qualified foreign pension fund is treated as a foreign person, thereby exempting such entities from tax under FIRPTA (as described further below). A “qualified foreign pension fund” is an organization or arrangement (i) created or organized in a foreign country, (ii) established by a foreign country (or one or more political subdivisions thereof) or one or more employers to provide retirement or pension benefits to current or former employees (including self-employed individuals) or their designees as a result of, or in consideration for, services rendered, (iii) which does not have a single participant or beneficiary that has a right to more than 5% of its assets or income, (iv) which is subject to government regulation and with respect to which annual information about its beneficiaries is provided, or is otherwise available, to relevant local tax authorities, and (v) with respect to which, under its local laws, (A) contributions that would otherwise be subject to tax are deductible or excluded from its gross income or taxed at a reduced rate, or (B) taxation of its investment income is deferred, or such income is excluded from its gross income or taxed at a reduced rate. Under Treasury Regulations, subject to the discussion below regarding qualified holders, a qualified controlled entity also is not generally treated as a foreign person for purposes of FIRPTA. A “qualified controlled entity” generally includes a trust or corporation organized under the laws of a foreign country all of the interests of which are held by one or more qualified foreign pension funds either directly or indirectly through one or more qualified controlled entities. </w:t>
      </w:r>
    </w:p>
    <w:p>
      <w:pPr>
        <w:pStyle w:val="TextBody"/>
        <w:bidi w:val="0"/>
        <w:spacing w:before="240" w:after="0"/>
        <w:jc w:val="left"/>
        <w:rPr>
          <w:rFonts w:ascii="Times New Roman" w:hAnsi="Times New Roman"/>
          <w:sz w:val="20"/>
        </w:rPr>
      </w:pPr>
      <w:r>
        <w:rPr>
          <w:rFonts w:ascii="Times New Roman" w:hAnsi="Times New Roman"/>
          <w:sz w:val="20"/>
        </w:rPr>
        <w:t xml:space="preserve">Treasury Regulations further require that a qualified foreign pension fund or qualified controlled entity will not be exempt from FIRPTA with respect to dispositions of U.S. real property interests or REIT distributions attributable to the same unless the qualified foreign pension fund or qualified controlled entity is a qualified holder. To be a “qualified holder”, a qualified foreign pension fund or qualified controlled entity must satisfy one of two alternative tests at the time of the disposition of the U.S. real property interest or the REIT distribution. Under the first test, a qualified foreign pension fund or qualified controlled entity is a qualified holder if it owned no U.S. real property interests as of the earliest date during an uninterrupted period ending on the date of the disposition or distribution during which it qualified as a qualified foreign pension fund or qualified controlled entity. Alternatively, if a qualified foreign pension fund or qualified controlled entity held U.S. real property interests as of the earliest date during the period described in the preceding sentence, it can be a qualified holder only if it satisfies certain testing period requirements. </w:t>
      </w:r>
    </w:p>
    <w:p>
      <w:pPr>
        <w:pStyle w:val="TextBody"/>
        <w:bidi w:val="0"/>
        <w:spacing w:before="240" w:after="0"/>
        <w:jc w:val="left"/>
        <w:rPr>
          <w:rFonts w:ascii="Times New Roman" w:hAnsi="Times New Roman"/>
          <w:sz w:val="20"/>
        </w:rPr>
      </w:pPr>
      <w:r>
        <w:rPr>
          <w:rFonts w:ascii="Times New Roman" w:hAnsi="Times New Roman"/>
          <w:sz w:val="20"/>
        </w:rPr>
        <w:t xml:space="preserve">Treasury Regulations also provide that a foreign partnership all of the interests of which are held by qualified holders, including through one or more partnerships, may certify its status as such and will not be treated as a foreign person for purposes of withholding under Section 1445 of the Code (and Section 1446 of the Code,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Distributions that are attributable to gain from the sales of USRPIs received by qualified foreign pension funds or qualified controlled entities will not be subject to U.S. federal income or withholding tax. All other distributions received by qualified foreign pension funds or qualified controlled entities will be taxed as described above under “—Dividends.” Gain of a qualified foreign pension fund or qualified controlled entity from the sale or exchange of our stock and distributions treated as gain from the sale or exchange of our stock under the rules described above under “—Dividends,” will not be subject to U.S. federal income or withholding tax, unless such gain is treated as effectively connected with the qualified foreign pension fund’s (or the qualified controlled entity’s, as applicable) conduct of a U.S. trade or business, in which case, the qualified foreign pension fund (or qualified controlled entity) generally will be subject to a tax at the same graduated rates applicable to U.S. stockholders, unless an applicable income tax treaty provides otherwise, and may be subject to the 30% branch profits tax on its effectively connected earnings and profits, subject to adjustments, in the case of a foreign corporation. </w:t>
      </w:r>
    </w:p>
    <w:p>
      <w:pPr>
        <w:pStyle w:val="TextBody"/>
        <w:bidi w:val="0"/>
        <w:spacing w:before="240" w:after="0"/>
        <w:jc w:val="left"/>
        <w:rPr>
          <w:rFonts w:ascii="Times New Roman" w:hAnsi="Times New Roman"/>
          <w:sz w:val="20"/>
        </w:rPr>
      </w:pPr>
      <w:r>
        <w:rPr>
          <w:rFonts w:ascii="Times New Roman" w:hAnsi="Times New Roman"/>
          <w:i/>
          <w:sz w:val="20"/>
        </w:rPr>
        <w:t>Withholding on Certain Foreign Accounts and Entities</w:t>
      </w:r>
      <w:r>
        <w:rPr>
          <w:rFonts w:ascii="Times New Roman" w:hAnsi="Times New Roman"/>
          <w:sz w:val="20"/>
        </w:rPr>
        <w:t xml:space="preserve">. The Foreign Account Tax Compliance Act (“FATCA”) provisions of the Code impose withholding tax on “withholdable payments” made to foreign financial institutions (“FFIs”) and non-financial foreign entities (“NFFEs”), unless certain certification, reporting on U.S. account holders or substantial U.S. owners, and other specified requirements are satisfied or the FFI or NFFE qualifies for an exemption from FATCA withholding. Any foreign governments, any political subdivision of a foreign government, any wholly owned agency or instrumentality of any one or more of the foregoing, and certain retirement funds are treated as exempt beneficial owners, payments to which are exempt from FATCA withholding. In addition, the U.S. has entered into certain Model 1 Intergovernmental Agreements (“IGAs”) pursuant to which FFIs in such jurisdictions will report directly to their own governments, and those governments will, in turn, exchange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with the U.S. Payments made under such IGAs to FFIs are not subject to FATCA withholding. “Withholdable payments” include U.S. source dividends, interest and other fixed or determinable annual or periodic income. Under currently proposed Treasury Regulations, which have not yet been finalized but taxpayers are generally entitled to rely on (subject to certain limited exceptions), “withholdable payments” do not include any gross proceeds from the disposition of property of a type that can produce U.S. source dividends or interest. Failure by a non-U.S. stockholder who is subject to FATCA to comply with its certification and reporting requirements, or properly document its status as a person not subject to FATCA withholding, could cause us to be required to withhold tax at a rate of 30% on withholdable payments made to the non-U.S. stockholder. A credit or refund of such withheld tax may be claimed by the beneficial owner of the payment to which such withheld tax is attributable, provided that the beneficial owner provides such information as may be required by Treasury Regulations regarding its ownership by U.S. persons, and, if the beneficial owner is a FFI, only to the extent that the withheld tax exceeds the reduced rate of withholding tax to which it is entitled under an applicable treaty. You should consult your own tax advisors regarding the FATCA requirements. </w:t>
      </w:r>
    </w:p>
    <w:p>
      <w:pPr>
        <w:pStyle w:val="TextBody"/>
        <w:bidi w:val="0"/>
        <w:spacing w:before="24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Generally, we must report annually to the IRS the amount of dividends paid to a non-U.S. stockholder, such holder’s name and address, and the amount of tax withheld, if any. A similar report is sent to the non-U.S. stockholder. Pursuant to tax treaties or other agreements, the IRS may make its reports available to tax authorities in the non-U.S. stockholder’s country of residence. </w:t>
      </w:r>
    </w:p>
    <w:p>
      <w:pPr>
        <w:pStyle w:val="TextBody"/>
        <w:bidi w:val="0"/>
        <w:spacing w:before="240" w:after="0"/>
        <w:jc w:val="left"/>
        <w:rPr>
          <w:rFonts w:ascii="Times New Roman" w:hAnsi="Times New Roman"/>
          <w:sz w:val="20"/>
        </w:rPr>
      </w:pPr>
      <w:r>
        <w:rPr>
          <w:rFonts w:ascii="Times New Roman" w:hAnsi="Times New Roman"/>
          <w:sz w:val="20"/>
        </w:rPr>
        <w:t xml:space="preserve">Payments of dividends or of proceeds from the disposition of stock made to a non-U.S. stockholder may be subject to information reporting and backup withholding unless such holder establishes an exemption, for example, by properly certifying its non-United States status on an appropriate version of IRS Form W-8. Notwithstanding the foregoing, backup withholding may apply if either we or our paying agent has actual knowledge, or reason to know, that a non-U.S. stockholder is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Rather, the United States income tax liability of persons subject to backup withholding will be reduced by the amount of tax withheld. If withholding results in an overpayment of taxes, a refund or credit may be obtained, provided the required information is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State, Local and Foreign Taxes </w:t>
      </w:r>
    </w:p>
    <w:p>
      <w:pPr>
        <w:pStyle w:val="TextBody"/>
        <w:bidi w:val="0"/>
        <w:spacing w:before="120" w:after="0"/>
        <w:jc w:val="left"/>
        <w:rPr>
          <w:rFonts w:ascii="Times New Roman" w:hAnsi="Times New Roman"/>
          <w:sz w:val="20"/>
        </w:rPr>
      </w:pPr>
      <w:r>
        <w:rPr>
          <w:rFonts w:ascii="Times New Roman" w:hAnsi="Times New Roman"/>
          <w:sz w:val="20"/>
        </w:rPr>
        <w:t xml:space="preserve">We and/or holders of our stock may be subject to state, local and foreign taxation in various state or local or foreign jurisdictions, including those in which we or they transact business or reside. The foreign, state and local tax treatment of us and of holders of our stock may not conform to the United States federal income tax considerations discussed above. Consequently, prospective investors should consult their own tax advisors regarding the effect of state, local and foreign tax laws on an investment in our common stock or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Legislative or Other Actions Affecting REITs </w:t>
      </w:r>
    </w:p>
    <w:p>
      <w:pPr>
        <w:pStyle w:val="TextBody"/>
        <w:bidi w:val="0"/>
        <w:spacing w:before="120" w:after="0"/>
        <w:jc w:val="left"/>
        <w:rPr>
          <w:rFonts w:ascii="Times New Roman" w:hAnsi="Times New Roman"/>
          <w:sz w:val="20"/>
        </w:rPr>
      </w:pPr>
      <w:r>
        <w:rPr>
          <w:rFonts w:ascii="Times New Roman" w:hAnsi="Times New Roman"/>
          <w:sz w:val="20"/>
        </w:rPr>
        <w:t xml:space="preserve">The rules dealing with U.S. federal income taxation are constantly under review by persons involved in the legislative process and by the IRS and the U.S. Treasury Department. No assurance can be given as to whether, when, or in what form, U.S. federal income tax laws applicable to us and holders of our equity and debt securities may be enacted, amended or repealed. Changes to the federal tax laws and to interpretations of the federal tax laws could adversely affect an investment in our equity or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Holders of Certain Fixed Rate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This section describes the material United States federal income tax considerations relating to the ownership of the fixed rate debt securities that The Macerich Company may offer for general information only. It is not tax advice. Except for the limited discussion of original issue discount below, it applies only if the fixed rate debt securities purchased are not original issue discount or zero coupon debt securities and such fixed rate debt securities are acquired in the initial offering at the offering price. If these fixed rate debt securities are purchased at a price other than the offering price, the amortization bond premium or market discount rules may apply. Prospective holders should consult their own tax advisors regarding these possibilities.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tax considerations relating to the ownership of any zero coupon debt securities, original issue discount debt securities, floating rate debt securities, convertible or exchangeable debt securities, or indexed debt securities that we offer will be discussed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Taxable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term “U.S. Holder” means any beneficial owner of a debt security that for United States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(including an entity treated as a corporation for United States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 if (1) a United States court is able to exercise primary supervision over the administration of such trust and one or more United States persons have the authority to control all substantial decisions of the trust or (2) it has a valid election in place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“Non-U.S. Holder” shall refer to a beneficial owner of a debt security that is a nonresident alien individual or a non-U.S. corporation.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for this purpose any entity treated as a partnership for U.S. federal income tax purposes) is a beneficial owner of debt securities, the treatment of a partner in the partnership will generally depend upon the status of the partner and upon the activities of the partnership. A holder of debt securities that is a partnership, and partners in such partnership, should consult their tax advisors about the U.S. federal income tax consequences of purchasing, holding and disposing of debt securities. </w:t>
      </w:r>
    </w:p>
    <w:p>
      <w:pPr>
        <w:pStyle w:val="TextBody"/>
        <w:bidi w:val="0"/>
        <w:spacing w:before="240" w:after="0"/>
        <w:jc w:val="left"/>
        <w:rPr>
          <w:rFonts w:ascii="Times New Roman" w:hAnsi="Times New Roman"/>
          <w:sz w:val="20"/>
        </w:rPr>
      </w:pPr>
      <w:r>
        <w:rPr>
          <w:rFonts w:ascii="Times New Roman" w:hAnsi="Times New Roman"/>
          <w:i/>
          <w:sz w:val="20"/>
        </w:rPr>
        <w:t>Interest and Original Issue Discount</w:t>
      </w:r>
      <w:r>
        <w:rPr>
          <w:rFonts w:ascii="Times New Roman" w:hAnsi="Times New Roman"/>
          <w:sz w:val="20"/>
        </w:rPr>
        <w:t xml:space="preserve">. If the issue price of a debt security is less than its stated redemption price at maturity, then the debt security will be treated as being issued with original issue discount (“OID”) for U.S. federal income tax purposes unless the difference between the debt security’s issue price and its stated redemption price at maturity is less than a statutory de minimis amount. Generally, the “issue price” of a debt security is the first price at which a substantial amount of the debt securities is sold to purchasers other than bond houses, brokers or similar persons or organizations acting in the capacity of underwriters, placement agents or wholesalers. The “stated redemption price at maturity” of a debt security is the total of all payments to be made under the debt security other than qualified stated interest (generally, stated interest that is unconditionally payable in cash or property at least annually at a single fixed rate or at certain floating rates that properly take into account the length of the interval between stated interest payments); and, generally, is expected to equal the principal amount of the debt security. The amount of OID on the debt security will be de minimis if it is less than 0.0025 multiplied by the product of the stated redemption price at maturity and the number of complete years to maturity. </w:t>
      </w:r>
    </w:p>
    <w:p>
      <w:pPr>
        <w:pStyle w:val="TextBody"/>
        <w:bidi w:val="0"/>
        <w:spacing w:before="240" w:after="0"/>
        <w:jc w:val="left"/>
        <w:rPr>
          <w:rFonts w:ascii="Times New Roman" w:hAnsi="Times New Roman"/>
          <w:sz w:val="20"/>
        </w:rPr>
      </w:pPr>
      <w:r>
        <w:rPr>
          <w:rFonts w:ascii="Times New Roman" w:hAnsi="Times New Roman"/>
          <w:sz w:val="20"/>
        </w:rPr>
        <w:t xml:space="preserve">If the difference between the issue price and the stated redemption price at maturity of a debt security is more than the statutory de minimis amount, the debt security will be treated as having been issued with OID. The amount of OID on a debt security, which is equal to the difference, must be included in income as ordinary interest as it accrues under a constant yield method in advance of receipt of the cash payments attributable to such income, regardless of such U.S. Holder’s regular method of tax accounting. </w:t>
      </w:r>
    </w:p>
    <w:p>
      <w:pPr>
        <w:pStyle w:val="TextBody"/>
        <w:bidi w:val="0"/>
        <w:spacing w:before="240" w:after="0"/>
        <w:jc w:val="left"/>
        <w:rPr>
          <w:rFonts w:ascii="Times New Roman" w:hAnsi="Times New Roman"/>
          <w:sz w:val="20"/>
        </w:rPr>
      </w:pPr>
      <w:r>
        <w:rPr>
          <w:rFonts w:ascii="Times New Roman" w:hAnsi="Times New Roman"/>
          <w:sz w:val="20"/>
        </w:rPr>
        <w:t xml:space="preserve">Stated interest on a debt security generally will be included in the income of a U.S. Holder as ordinary income at the time such interest is received or accrued, in accordance with the U.S. Holder’s regular method of tax accounting. </w:t>
      </w:r>
    </w:p>
    <w:p>
      <w:pPr>
        <w:pStyle w:val="TextBody"/>
        <w:bidi w:val="0"/>
        <w:spacing w:before="240" w:after="0"/>
        <w:jc w:val="left"/>
        <w:rPr>
          <w:rFonts w:ascii="Times New Roman" w:hAnsi="Times New Roman"/>
          <w:sz w:val="20"/>
        </w:rPr>
      </w:pPr>
      <w:r>
        <w:rPr>
          <w:rFonts w:ascii="Times New Roman" w:hAnsi="Times New Roman"/>
          <w:i/>
          <w:sz w:val="20"/>
        </w:rPr>
        <w:t>Disposition of the Debt Securities</w:t>
      </w:r>
      <w:r>
        <w:rPr>
          <w:rFonts w:ascii="Times New Roman" w:hAnsi="Times New Roman"/>
          <w:sz w:val="20"/>
        </w:rPr>
        <w:t xml:space="preserve">. Upon the sale, exchange, redemption, repurchase, retirement or other disposition of a debt security, a U.S. Holder generally will recognize capital gain or loss equal to the difference between (i) the amount of cash proceeds and the fair market value of any property received on the disposition (except to the extent such amount is attributable to accrued but unpaid stated interest, which is taxable as ordinary income if not previously included in such holder’s income) and (ii) such U.S. Holder’s adjusted tax basis in the debt security.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U.S. Holder’s adjusted tax basis in a debt security generally will equal the cost of the debt security to such Holder (A) increased by the amount of OID (if any) previously included in income by such Holder and (B) decreased by the amount of any payments other than qualified stated interest payments. Capital gain or loss recognized upon the disposition of a debt security will be a long-term capital gain or loss if the debt security was held for more than one year.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i/>
          <w:sz w:val="20"/>
        </w:rPr>
        <w:t>Medicare Tax</w:t>
      </w:r>
      <w:r>
        <w:rPr>
          <w:rFonts w:ascii="Times New Roman" w:hAnsi="Times New Roman"/>
          <w:sz w:val="20"/>
        </w:rPr>
        <w:t xml:space="preserve">. A U.S. Holder that is an individual is subject to a 3.8% tax on the lesser of (1) the U.S. person’s “net investment income” for the relevant taxable year and (2) the excess of the U.S. person’s modified adjusted gross income for the taxable year over a certain threshold (which will be between $125,000 and $250,000, depending on the individual’s circumstances). Estates and trusts that do not fall into a special class of trusts that is exempt from such tax are subject to the same 3.8% tax on the lesser of their undistributed net investment income and the excess of their adjusted gross income over a certain threshold. A holder’s net investment income will generally include its gross interest income and its net gains from the disposition of notes, unless such interest or net gains are derived in the ordinary course of the conduct of a trade or business (other than a trade or business that consists of certain passive or trading activities). If you are a U.S. Holder that is an individual, estate or trust, you are urged to consult your tax advisors regarding the applicability of this tax to your income and gains in respect of your investment in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We will report to our U.S. Holders and to the IRS the amount of stated interest payments and payments of the proceeds from the sale, exchange, redemption, repurchase, retirement or other disposition of a debt security made to a U.S. Holder, and the amount we withhold, if any. Under the backup withholding rules, a U.S. Holder may be subject to backup withholding at a rate of up to 24% with respect to distributions unless the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corporation or comes within certain exempt categories and, when required, demonstrates that fact,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a taxpayer identification number, certifies as to no loss of exemption from backup withholding, and otherwise complies with the applicable requirements of the backup withholding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noteholder who does not provide us with its correct taxpayer identification number also may be subject to penalties imposed by the IRS. Any amount paid as backup withholding will be creditable against the noteholder’s income tax liability. For a discussion of the backup withholding rules as applied to non-U.S. Holders, see “—Taxation of Non-U.S. Holders of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Tax-Exempt U.S. Holders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Assuming the debt security is debt for tax purposes, interest income accrued on the debt security should not constitute unrelated business taxable income to a tax-exempt U.S. Holder. As a result, a tax-exempt U.S. Holder generally should not be subject to U.S. federal income tax on the interest income accruing on our debt securities. Similarly, any gain recognized by the tax-exempt U.S. Holder in connection with a sale of the debt security generally should not be unrelated business taxable income unless the U.S. Holder holds our debt securities for sale to customers in its ordinary course of business. However, if a tax-exempt U.S. Holder were to finance its acquisition of the debt security with debt, a portion of the interest income and gain attributable to the debt security would constitute unrelated business taxable income pursuant to the “debt-financed property” rules. Tax-exempt U.S. Holders should consult their own counsel to determine the potential tax consequences of an investment in our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Non-U.S. Holders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the U.S. federal income taxation of a Non-U.S. Holder are complex and no attempt will be made herein to provide more than a summary of such rules. Non-U.S. Holders should consult their tax advisors to determine the effect of U.S. federal, state, local and foreign tax laws, as well as tax treaties, with regard to an investment in the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 and Original Issue Discount. A Non-U.S. Holder holding the debt securities on its own behalf generally will be exempt from U.S. federal income and withholding taxes on payments of noncontingent interest (including OID) on a debt security so long as such payments are not effectively connected with the conduct of a trade or business in the United States by the Non-U.S. Holder, unless such Non-U.S. Holder is (i) a direct or indirect 10% or greater stockholder of The Macerich Company, (ii) a controlled foreign corporation related to The Macerich Company, as applicable, or (iii) a bank extending credit pursuant to a loan agreement entered into in the ordinary course of its trade or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for a Non-U.S. Holder that is an individual or corporation (or entity treated as such for U.S. federal income tax purposes) to qualify for the exemption from taxation on noncontingent interest (including OID), the “withholding agent” (generally, the last U.S. payor or a non-U.S. payor who is a qualified intermediary or withholding foreign partnership) must have received a statement (generally made on IRS Form W-8BEN or W-8BEN-E) from the individual or corporation that: (i) is signed under penalties of perjury by the beneficial owner of the debt security, (ii) certifies that such owner is not a U.S. Holder and (iii) provides the beneficial owner’s name and address. Certain securities clearing organizations and other entities that are not beneficial owners may provide a signed statement accompanied by a copy of the beneficial owner’s IRS Form W-8BEN or W-8BEN-E to the withholding agent. A Non-U.S. Holder that is not an individual or corporation (or an entity treated as a corporation for U.S. federal income tax purposes) holding the debt securities on its own behalf may have substantially increased reporting requirements and should consult its tax advisor.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interest income (including OID) with respect to a debt security is not exempt from U.S. withholding tax as described above, a Non-U.S. Holder may still be able to eliminate or reduce such taxes under an applicable income tax treaty. </w:t>
      </w:r>
    </w:p>
    <w:p>
      <w:pPr>
        <w:pStyle w:val="TextBody"/>
        <w:bidi w:val="0"/>
        <w:spacing w:before="240" w:after="0"/>
        <w:jc w:val="left"/>
        <w:rPr>
          <w:rFonts w:ascii="Times New Roman" w:hAnsi="Times New Roman"/>
          <w:sz w:val="20"/>
        </w:rPr>
      </w:pPr>
      <w:r>
        <w:rPr>
          <w:rFonts w:ascii="Times New Roman" w:hAnsi="Times New Roman"/>
          <w:i/>
          <w:sz w:val="20"/>
        </w:rPr>
        <w:t>Disposition of the Debt Securities</w:t>
      </w:r>
      <w:r>
        <w:rPr>
          <w:rFonts w:ascii="Times New Roman" w:hAnsi="Times New Roman"/>
          <w:sz w:val="20"/>
        </w:rPr>
        <w:t xml:space="preserve">. Any gain realized on the sale, redemption, exchange, retirement, repurchase or other taxable disposition of a debt security by a Non-U.S. Holder (except to the extent such amount is attributable to accrued but unpaid stated interest, which would be taxable as described above) will be exempt from U.S. federal income and withholding taxes so long as: (i) the gain is not effectively connected with the conduct of a trade or business in the United States by the Non-U.S. Holder, (ii) in the case of a nonresident alien individual, the Non-U.S. Holder is not present in the United States for 183 days or more in the taxable year, and (iii) the debt securities do not constitute USRPIs, within the meaning of FIRPTA. </w:t>
      </w:r>
    </w:p>
    <w:p>
      <w:pPr>
        <w:pStyle w:val="TextBody"/>
        <w:bidi w:val="0"/>
        <w:spacing w:before="240" w:after="0"/>
        <w:jc w:val="left"/>
        <w:rPr>
          <w:rFonts w:ascii="Times New Roman" w:hAnsi="Times New Roman"/>
          <w:sz w:val="20"/>
        </w:rPr>
      </w:pPr>
      <w:r>
        <w:rPr>
          <w:rFonts w:ascii="Times New Roman" w:hAnsi="Times New Roman"/>
          <w:sz w:val="20"/>
        </w:rPr>
        <w:t xml:space="preserve">Except to the extent that an applicable income tax treaty otherwise provides, a Non-U.S. Holder whose gain or interest income (including OID) with respect to a debt security is effectively connected with the conduct of a trade or business in the United States by such Non-U.S. Holder, although exempt from the withholding tax previously discussed provided the holder furnishes an IRS form W-8ECI, will generally be subject to U.S. federal income tax on the gain or interest income at regular U.S. federal income tax rates, as if the holder were a U.S. person. In addition, if the Non-U.S. Holder is a foreign corporation, it may be subject to a branch profits tax equal to 30 percent of its “dividend equivalent amount” within the meaning of the Code for the taxable year, subject to adjustment, unless it qualifies for a lower rate or an exemption under an applicable tax treaty. </w:t>
      </w:r>
    </w:p>
    <w:p>
      <w:pPr>
        <w:pStyle w:val="TextBody"/>
        <w:bidi w:val="0"/>
        <w:spacing w:before="240" w:after="0"/>
        <w:jc w:val="left"/>
        <w:rPr>
          <w:rFonts w:ascii="Times New Roman" w:hAnsi="Times New Roman"/>
          <w:sz w:val="20"/>
        </w:rPr>
      </w:pPr>
      <w:r>
        <w:rPr>
          <w:rFonts w:ascii="Times New Roman" w:hAnsi="Times New Roman"/>
          <w:i/>
          <w:sz w:val="20"/>
        </w:rPr>
        <w:t>Withholding on Certain Foreign Accounts and Entities</w:t>
      </w:r>
      <w:r>
        <w:rPr>
          <w:rFonts w:ascii="Times New Roman" w:hAnsi="Times New Roman"/>
          <w:sz w:val="20"/>
        </w:rPr>
        <w:t xml:space="preserve">. FATCA imposes withholding tax on “withholdable payments” made to FFIs and NFFEs, unless certain certification, reporting on U.S. account holders or substantial U.S. owners, and other specified requirements are satisfied or the FFI or NFFE qualifies for an exemption from FATCA withholding. Any foreign governments, any political subdivision of a foreign government, any wholly owned agency or instrumentality of any one or more of the foregoing, and certain retirement funds are treated as exempt beneficial owners, payments to which are exempt from FATCA withholding. In addition, the U.S. has entered into IGAs pursuant to which FFIs in such jurisdictions will report directly to their own governments, and those governments will, in turn, exchange such information with the U.S. Payments made under such IGAs to FFIs are not subject to FATCA withholding. “Withholdable payments” include U.S. source dividends, interest and other fixed or determinable annual or periodic income. Under currently proposed Treasury Regulations, which have not yet been finalized but taxpayers are generally entitled to rely on (subject to certain limited exceptions), “withholdable payments” do not include any gross proceeds from the disposition of property of a type that can produce U.S. source dividends or interest. Failure by a Non-U.S. Holder who is subject to FATCA to comply with its certification and reporting requirements, or properly document its status as a person not subject to FATCA withholding, could cause us to be required to withhold tax at a rate of 30% on withholdable payments made to the Non-U.S. Holder. A credit or refund of such withheld tax may be claimed by the beneficial owner of the payment to which such withheld tax is attributable, provided that the beneficial owner provides such information as may be required by Treasury Regulations regarding its ownership by U.S. persons, and, if the beneficial owner is a FFI, only to the extent that the withheld tax exceeds the reduced rate of withholding tax to which it is entitled under an applicable treaty. You should consult your own tax advisors regarding the FATCA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Information reporting requirements and backup withholding generally will not apply to payments on a debt security to a Non-U.S. Holder if the statement described in “Non-U.S. Holders of the Debt Securities” is duly provided by such holder, provided that the withholding agent does not have actual knowledge that the holder is a United States person. Information reporting requirements and backup withholding will not apply to any payment of the proceeds of the sale of a debt security effected outside the United States by a foreign office of a “broker” (as defined in applicable Treasury Regulations), unless such broker (i) is a United States person, (ii) derives 50% or more of its gross income for certain periods from the conduct of a trade or business in the United States, (iii) is a controlled foreign corporation within the meaning of the Code or (iv) is a U.S. branch of a foreign bank or a foreign insurance company. Payment of the proceeds of any such sale effected outside the United States by a foreign office of any broker that is described in (i), (ii) or (iii) of the preceding sentence will not be subject to backup withholding, but will be subject to the information reporting requirements unless such broker has documentary evidence in its records that the beneficial owner is a Non-U.S. Holder and certain other conditions are met, or the beneficial owner otherwise establishes an exemption. Payment of the proceeds of any such sale to or through the United States office of a broker is subject to information reporting and backup withholding requirements, unless the beneficial owner of the debt security provides the statement described in “—Non-U.S. Holders of the Debt Securities” or otherwise establishes an exemption. Any amount withheld from a payment to a holder of a debt security under the backup withholding rules is allowable as a credit against such holder’s U.S. federal income tax liability (which might entitle such holder to a refund), provided that such holder furnishes the required information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9" w:name="tx158325_18"/>
      <w:bookmarkEnd w:id="19"/>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selling securityholders, where applicable, will be set forth in a prospectus supplement, in a post-effective amendment, or in filings we make with the SEC that are incorporated into this prospectus by reference. </w:t>
      </w:r>
    </w:p>
    <w:p>
      <w:pPr>
        <w:pStyle w:val="TextBody"/>
        <w:bidi w:val="0"/>
        <w:spacing w:before="480" w:after="0"/>
        <w:jc w:val="center"/>
        <w:rPr>
          <w:rFonts w:ascii="Times New Roman" w:hAnsi="Times New Roman"/>
          <w:b/>
          <w:sz w:val="20"/>
        </w:rPr>
      </w:pPr>
      <w:bookmarkStart w:id="20" w:name="tx158325_19"/>
      <w:bookmarkEnd w:id="20"/>
      <w:r>
        <w:rPr>
          <w:rFonts w:ascii="Times New Roman" w:hAnsi="Times New Roman"/>
          <w:b/>
          <w:sz w:val="20"/>
        </w:rPr>
        <w:t xml:space="preserve">PLAN OF DISTRIBUTION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Sales by Us </w:t>
      </w:r>
    </w:p>
    <w:p>
      <w:pPr>
        <w:pStyle w:val="TextBody"/>
        <w:bidi w:val="0"/>
        <w:spacing w:before="120" w:after="0"/>
        <w:jc w:val="left"/>
        <w:rPr>
          <w:rFonts w:ascii="Times New Roman" w:hAnsi="Times New Roman"/>
          <w:sz w:val="20"/>
        </w:rPr>
      </w:pPr>
      <w:r>
        <w:rPr>
          <w:rFonts w:ascii="Times New Roman" w:hAnsi="Times New Roman"/>
          <w:sz w:val="20"/>
        </w:rPr>
        <w:t xml:space="preserve">We may sell the securities under this prospectus in one or more transactions from time to time,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one or more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manner in which we may sell some or all of the securities offered by this prospectus includes, without limitation, through: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block trade in which the dealer will attempt to sell as agent, but may position or resell a portion of the block, as principal, in order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put or call options, forward or other derivative transactions relating to the shares of common stock or other securities being registered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a broker solicits purchases;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sell securities to a dealer acting as principal, the dealer may resell such securities at varying prices to be determined by such dealer in its discretion at the time of resale without consulting with us and such resale prices may not be disclosed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Sales of the securities may be effected from time to time in one or more transactions, including privately negotiated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within the meaning of Rule 415(a)(4) of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those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prices may represent a discount from the then prevailing market prices.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applicable, we, and our respective underwriters, dealers or agents, reserve the right to accept or reject all or part of any proposed purchase of the securities. We will set forth in a prospectus supplement the terms and offering of securities by us,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or commissions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concessions or commissions allowed or reallowed or paid to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details regarding options, if any, under which underwriters may purchase additional securities from us,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price or purchase price of the securities being offered and the proceeds we will receive from the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exchanges on which such securities may be listed, if 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from time to time. If the applicable prospectus supplement indicates, in connection with those derivative transactions, such third parties (or affiliates of such third parties) may sell securities covered by this prospectus and the applicable prospectus supplement, including in short sale transactions. If so, such third parties (or affiliates of such third parties) may use securities pledged by us or borrowed from us or others to settle those sales or to close out any related open borrowings of securities, and may use securities received from us in settlement of those derivative transactions to close out any related open borrowings of securities. If the third parties (or affiliates of such third parties) in such sale transactions by us are or may be deemed to be underwriters under the Securities Act, we will identify them in an applicable prospectus supplement (or a post-effective amendment).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or preferred stock may be issued upon conversion of our debt securities or in exchange for our debt securities. Our common stock may also be issued upon conversion of our preferred stock. Additionally, securities may be issued upon exercise of our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loan or pledge securities to a financial institution or other third party that in turn may sell the securities using this prospectus and an applicable prospectus supplement. Such financial institution or third party may transfer its economic short position to investors in our securities or in connection with a simultaneous offering of other securities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also offer securities through subscription rights distributed to our stockholders on a pro rata basis, which may or may not be transferable. In any distribution of subscription rights to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 </w:t>
      </w:r>
    </w:p>
    <w:p>
      <w:pPr>
        <w:pStyle w:val="TextBody"/>
        <w:bidi w:val="0"/>
        <w:spacing w:before="240" w:after="0"/>
        <w:jc w:val="left"/>
        <w:rPr>
          <w:rFonts w:ascii="Times New Roman" w:hAnsi="Times New Roman"/>
          <w:sz w:val="20"/>
        </w:rPr>
      </w:pPr>
      <w:r>
        <w:rPr>
          <w:rFonts w:ascii="Times New Roman" w:hAnsi="Times New Roman"/>
          <w:i/>
          <w:sz w:val="20"/>
        </w:rPr>
        <w:t>Underwriters, Agents and Dealers.</w:t>
      </w:r>
      <w:r>
        <w:rPr>
          <w:rFonts w:ascii="Times New Roman" w:hAnsi="Times New Roman"/>
          <w:sz w:val="20"/>
        </w:rPr>
        <w:t xml:space="preserve"> Any underwritten offering may be on a best efforts or a firm commitment basis. The securities may be offered to the public either through underwriting syndicates represented by managing underwriters or directly by underwriters. We may use underwriters with which we have a material relationship and will describe in the prospectus supplement, naming the underwriter, the nature of any such relationship.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through agents from time to time. When we sell securities through agents, the prospectus supplement will name any agent involved in the offer or sale of securities and any commissions we pay to them. Generally, any agent will be acting on a best efforts basis for the period of its appointment.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authorize underwriters, dealers or agents to solicit offers by certain purchasers to purchase our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solicitation of these contracts.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and agents may contract for or otherwise be entitled to indemnification by us against certain civil liabilities, including liabilities under the Securities Act, or to contribution with respect to payments made by the underwriters, dealers or agents, under agreements between us and the underwriters, dealers and agents. </w:t>
      </w:r>
    </w:p>
    <w:p>
      <w:pPr>
        <w:pStyle w:val="TextBody"/>
        <w:bidi w:val="0"/>
        <w:spacing w:before="240" w:after="0"/>
        <w:jc w:val="left"/>
        <w:rPr>
          <w:rFonts w:ascii="Times New Roman" w:hAnsi="Times New Roman"/>
          <w:sz w:val="20"/>
        </w:rPr>
      </w:pPr>
      <w:r>
        <w:rPr>
          <w:rFonts w:ascii="Times New Roman" w:hAnsi="Times New Roman"/>
          <w:sz w:val="20"/>
        </w:rPr>
        <w:t xml:space="preserve">We may grant underwriters who participate in the distribution of our securities an option to purchase additional securities in connection with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or agents may receive compensation in the form of discounts, concessions or commissions from us or our purchasers, as their agents in connection with the sale of our securities. These underwriters, dealers or agents may be considered to be underwriters under the Securities Act. As a result, discounts, commissions or profits on resale received by the underwriters, dealers or agents may be treated as underwriting discounts and commissions. The prospectus supplement for any securities offered by us will identify any such underwriter, dealer or agent and describe any compensation received by them from us. Any public offering price and any discounts or concessions allowed or re-allowed or paid to dealers may be changed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Underwriters, broker-dealers or agents who may become involved in the sale of our securities may engage in transactions with and perform other services for us for which they receive compensation. </w:t>
      </w:r>
    </w:p>
    <w:p>
      <w:pPr>
        <w:pStyle w:val="TextBody"/>
        <w:bidi w:val="0"/>
        <w:spacing w:before="240" w:after="0"/>
        <w:jc w:val="left"/>
        <w:rPr>
          <w:rFonts w:ascii="Times New Roman" w:hAnsi="Times New Roman"/>
          <w:sz w:val="20"/>
        </w:rPr>
      </w:pPr>
      <w:r>
        <w:rPr>
          <w:rFonts w:ascii="Times New Roman" w:hAnsi="Times New Roman"/>
          <w:i/>
          <w:sz w:val="20"/>
        </w:rPr>
        <w:t>Stabilization Activities.</w:t>
      </w:r>
      <w:r>
        <w:rPr>
          <w:rFonts w:ascii="Times New Roman" w:hAnsi="Times New Roman"/>
          <w:sz w:val="20"/>
        </w:rPr>
        <w:t xml:space="preserve"> In connection with an offering through underwriters, an underwriter may, to the extent permitted by applicable rules and regulations, purchase and sell securities in the open market. These transactions, to the extent permitted by applicable rules and regulations, may include short sales, purchases to cover positions created by short sales and stabilizing transactions. Short sales involve the sale by the underwriters of a greater number of securities than they are required to purchase in the offering, which creates a short position. “Covered” short sales are sales made in an amount not greater than the underwriters’ option to purchase additional securities from us in the offering, if any. In determining the source of shares to close out the underwriters’ covered short position, the underwriters may consider, among other things, the price of securities available for purchase in the open market as compared to the price at which they may purchase securities through the over-allotment option. Transactions to close out the underwriters’ covered short position involve either purchases of the common stock in the open market after the distribution has been completed or the exercise of the underwriters’ over-allotment option. “Naked” short sales, which may be prohibited or restricted by applicable rules and regulations, are any sales in excess of the over-allotment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offering, the underwriters may also engage in penalty bids. Penalty bids permit the underwriters to reclaim a selling concession from a member of the underwriting syndicate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 </w:t>
      </w:r>
    </w:p>
    <w:p>
      <w:pPr>
        <w:pStyle w:val="TextBody"/>
        <w:bidi w:val="0"/>
        <w:spacing w:before="240" w:after="0"/>
        <w:jc w:val="left"/>
        <w:rPr>
          <w:rFonts w:ascii="Times New Roman" w:hAnsi="Times New Roman"/>
          <w:sz w:val="20"/>
        </w:rPr>
      </w:pPr>
      <w:r>
        <w:rPr>
          <w:rFonts w:ascii="Times New Roman" w:hAnsi="Times New Roman"/>
          <w:i/>
          <w:sz w:val="20"/>
        </w:rPr>
        <w:t>Direct Sales.</w:t>
      </w:r>
      <w:r>
        <w:rPr>
          <w:rFonts w:ascii="Times New Roman" w:hAnsi="Times New Roman"/>
          <w:sz w:val="20"/>
        </w:rPr>
        <w:t xml:space="preserve"> We may also sell securities directly to one or more purchasers without using underwriters or agents. In this case, no agents, underwriters or dealers would be involved. We may sell securities upon the exercise of rights that we may issue to our securityholders. We may also sell securities directly to institutional investors or others who may be deemed to be underwriters within the meaning of the Securities Act with respect to any sale of those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Trading Market and Listing of Securities.</w:t>
      </w:r>
      <w:r>
        <w:rPr>
          <w:rFonts w:ascii="Times New Roman" w:hAnsi="Times New Roman"/>
          <w:sz w:val="20"/>
        </w:rPr>
        <w:t xml:space="preserve"> Any common stock sold pursuant to a prospectus supplement will be listed on the NYSE, subject to official notice of issuance. The securities other than common stock may or may not be listed on a national securities exchange.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by Selling Securityholders </w:t>
      </w:r>
    </w:p>
    <w:p>
      <w:pPr>
        <w:pStyle w:val="TextBody"/>
        <w:bidi w:val="0"/>
        <w:spacing w:before="120" w:after="0"/>
        <w:jc w:val="left"/>
        <w:rPr>
          <w:rFonts w:ascii="Times New Roman" w:hAnsi="Times New Roman"/>
          <w:sz w:val="20"/>
        </w:rPr>
      </w:pPr>
      <w:r>
        <w:rPr>
          <w:rFonts w:ascii="Times New Roman" w:hAnsi="Times New Roman"/>
          <w:sz w:val="20"/>
        </w:rPr>
        <w:t xml:space="preserve">The selling securityholders may resell or redistribute the securities from time to time on any stock exchange or automated interdealer quotation system on which the securities are listed, in the over-the-counter market, in privately negotiated transactions, or in any other legal manner, at fixed prices that may be changed, at market prices prevailing at the time of sale, at prices related to prevailing market prices or at negotiated prices. Persons who are pledgees, donees, transferees, or other successors in interest of any of the named selling securityholders (including, but not limited to, persons who receive securities from a named selling securityholder as a gift, partnership distribution or other non-sale-related transfer after the date of this prospectus) may also use this prospectus and are included when we refer to “selling securityholders” in this prospectus. The selling securityholders may sell the securities by one or more of the following methods,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(which may include cross trades) in which the broker or dealer so engaged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 or dealer as principal and resale by the broker or dealer for its own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or secondary distribution in accordance with the rules of any stock exchange on which the securities may be listed;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 solicits purchases;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offering at other than a fixed price on or through the facilities of any stock exchange on which the securities are listed or to or through a market maker other than on that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directly or 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of options on the securities, whether or not the options are listed on an options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distribution of the securities by any securityholder to its partners, members or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underwritten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agreements between a broker or dealer and any securityholder to sell a specified number of the securities at a stipulated price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any of these methods of sale or distribution, or any other method permitted by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securityholders may also transfer the securities by gift.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engage brokers and dealers, and any brokers or dealers may arrange for other brokers or dealers to participate in effecting sales of the securities. These brokers, dealers or underwriters may act as principals, or as an agent of a selling securityholder. Broker-dealers may agree with a selling securityholder to sell a specified number of the securities at a stipulated price per share. If the broker-dealer is unable to sell securities acting as agent for a selling securityholder, it may purchase as principal any unsold securities at the stipulated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Broker-dealers who acquire securities as principals may thereafter resell the securities from time to time in transactions in any stock exchange or automated interdealer quotation system on which the securities are then listed, at prices and on terms then prevailing at the time of sale, at prices related to the then-current market price or in negotiated transactions. Broker-dealers may use block transactions and sales to and through broker-dealers, including transactions of the nature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one or more of the selling securityholders may pledge, hypothecate or grant a security interest in some or all of the securities owned by them. The pledgees, secured parties or persons to whom the securities have been hypothecated will, upon foreclosure in the event of default, be deemed to be selling securityholders. The number of a selling securityholder’s securities offered under this prospectus will decrease as and when it takes such actions. The plan of distribution for that selling securityholder’s securities will otherwise remain unchanged. In addition, a selling securityholder may, from time to time, sell the securities short, and, in those instances, this prospectus may be delivered in connection with the short sales and the securities offered under this prospectus may be used to cover short sales.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any underwriters, brokers, dealers or agents that participate in the distribution of the securities may be deemed to be “underwriters” within the meaning of the Securities Act, and any discounts, concessions, commissions or fees received by them and any profit on the resale of the securities sold by them may be deemed to be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A selling securityholder may enter into hedging transactions with broker-dealers and the broker-dealers may engage in short sales of the securities in the course of hedging the positions they assume with that selling securityholder, including, without limitation, in connection with distributions of the securities by those broker-dealers. A selling securityholder may enter into option or other transactions with broker-dealers that involve the delivery of the securities offered hereby to the broker-dealers, who may then resell or otherwise transfer those securities. A selling securityholder may also loan or pledge the securities offered hereby to a broker-dealer and the broker-dealer may sell the securities offered hereby so loaned or upon a default may sell or otherwise transfer the pledged securities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other persons participating in the sale or distribution of the securities will be subject to applicable provisions of the Exchange Act and the related rules and regulations adopted by the SEC, including Regulation M. This regulation may limit the timing of purchases and sales of any of the securities by the selling securityholders and any other person. The anti-manipulation rules under the Exchange Act may apply to sales of securities in the market and to the activities of the selling securityholders and their affiliates. Furthermore, Regulation M may restrict the ability of any person engaged in the distribution of the securities to engage in market-making activities with respect to the particular securities being distributed for a period of up to five business days before the distribution. These restrictions may affect the marketability of the securities and the ability of any person or entity to engage in market-making activities with respect to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agree to indemnify the selling securityholders and their respective officers, directors, employees and agents, and any underwriter or other person who participates in the offering of the securities, against specified liabilities, including liabilities under the federal securities laws or to contribute to payments the underwriters may be required to make in respect of those liabilities. The selling securityholders may agree to indemnify us, the other selling securityholders and any underwriter or other person who participates in the offering of the securities, against specified liabilities arising from information provided by the selling securityholders for use in this prospectus or any accompanying prospectus supplement, including liabilities under the federal securities laws. In each case, indemnification may include each person who is an affiliate of or controls one of these specified indemnified persons within the meaning of the federal securities laws or is required to contribute to payments the underwriters may be required to make in respect of those liabilities. The selling securityholders may agree to indemnify any brokers, dealers or agents who participate in transactions involving sales of the securities against specified liabilities arising under the federal securities laws in connection with the offering and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sales of any securities by the 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the selling securityholders will sell all or any portion of the securities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will supply the selling securityholders and any stock exchange upon which the securities are listed with reasonable quantities of copies of this prospectus. To the extent required by Rule 424 under the Securities Act in connection with any resale or redistribution by a selling securityholder, we will file a prospectus supplement setting forth: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securities to be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price or purchase price of the securities being offered;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or commissions and other items constituting agents’ or underwriters’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selling securityholder notifies us that a material arrangement has been entered into with a broker-dealer for the sale of securities through a block trade, special offering, exchange, distribution or secondary distribution or a purchase by a broker or dealer, the prospectus supplement will include any other facts that are material to the transaction. If applicable, this may include a statement to the effect that the participating broker-dealers did not conduct any investigation to verify the information set out or incorporated by reference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tx158325_20"/>
      <w:bookmarkEnd w:id="2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certain legal matters will be passed upon for us by Goodwin Procter LLP, Boston, Massachusetts and by Venable LLP, Baltimore, Maryland, with respect to matters of Maryland law. </w:t>
      </w:r>
    </w:p>
    <w:p>
      <w:pPr>
        <w:pStyle w:val="TextBody"/>
        <w:bidi w:val="0"/>
        <w:spacing w:before="480" w:after="0"/>
        <w:jc w:val="center"/>
        <w:rPr>
          <w:rFonts w:ascii="Times New Roman" w:hAnsi="Times New Roman"/>
          <w:b/>
          <w:sz w:val="20"/>
        </w:rPr>
      </w:pPr>
      <w:bookmarkStart w:id="22" w:name="tx158325_21"/>
      <w:bookmarkEnd w:id="2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the Company and the related financial statement schedule III—Real Estate and Accumulated Depreciation as of December 31, 2025 and 2024 and for each of the years in the three year period ended December 31, 2025, and management’s assessment of the effectiveness of the Company’s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THE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Our estimated expenses in connection with the registration and sale of the securities are as follows, all of which will be borne by us: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6174"/>
        <w:gridCol w:w="316"/>
        <w:gridCol w:w="60"/>
        <w:gridCol w:w="216"/>
        <w:gridCol w:w="173"/>
      </w:tblGrid>
      <w:tr>
        <w:trPr/>
        <w:tc>
          <w:tcPr>
            <w:tcW w:w="6174"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6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3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right"/>
              <w:rPr/>
            </w:pPr>
            <w:r>
              <w:rPr/>
              <w:t>(1</w:t>
            </w:r>
          </w:p>
        </w:tc>
        <w:tc>
          <w:tcPr>
            <w:tcW w:w="173" w:type="dxa"/>
            <w:tcBorders/>
            <w:shd w:fill="CCEEFF" w:val="clear"/>
            <w:vAlign w:val="bottom"/>
          </w:tcPr>
          <w:p>
            <w:pPr>
              <w:pStyle w:val="TableContents"/>
              <w:bidi w:val="0"/>
              <w:spacing w:before="0" w:after="283"/>
              <w:jc w:val="left"/>
              <w:rPr/>
            </w:pPr>
            <w:r>
              <w:rPr/>
              <w:t>) </w:t>
            </w:r>
          </w:p>
        </w:tc>
      </w:tr>
      <w:tr>
        <w:trPr/>
        <w:tc>
          <w:tcPr>
            <w:tcW w:w="6174"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duplicating expenses</w:t>
            </w:r>
          </w:p>
        </w:tc>
        <w:tc>
          <w:tcPr>
            <w:tcW w:w="3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right"/>
              <w:rPr/>
            </w:pPr>
            <w:r>
              <w:rPr/>
              <w:t>(2</w:t>
            </w:r>
          </w:p>
        </w:tc>
        <w:tc>
          <w:tcPr>
            <w:tcW w:w="173" w:type="dxa"/>
            <w:tcBorders/>
            <w:vAlign w:val="bottom"/>
          </w:tcPr>
          <w:p>
            <w:pPr>
              <w:pStyle w:val="TableContents"/>
              <w:bidi w:val="0"/>
              <w:spacing w:before="0" w:after="283"/>
              <w:jc w:val="left"/>
              <w:rPr/>
            </w:pPr>
            <w:r>
              <w:rPr/>
              <w:t>) </w:t>
            </w:r>
          </w:p>
        </w:tc>
      </w:tr>
      <w:tr>
        <w:trPr/>
        <w:tc>
          <w:tcPr>
            <w:tcW w:w="6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3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right"/>
              <w:rPr/>
            </w:pPr>
            <w:r>
              <w:rPr/>
              <w:t>(2</w:t>
            </w:r>
          </w:p>
        </w:tc>
        <w:tc>
          <w:tcPr>
            <w:tcW w:w="173" w:type="dxa"/>
            <w:tcBorders/>
            <w:shd w:fill="CCEEFF" w:val="clear"/>
            <w:vAlign w:val="bottom"/>
          </w:tcPr>
          <w:p>
            <w:pPr>
              <w:pStyle w:val="TableContents"/>
              <w:bidi w:val="0"/>
              <w:spacing w:before="0" w:after="283"/>
              <w:jc w:val="left"/>
              <w:rPr/>
            </w:pPr>
            <w:r>
              <w:rPr/>
              <w:t>) </w:t>
            </w:r>
          </w:p>
        </w:tc>
      </w:tr>
      <w:tr>
        <w:trPr/>
        <w:tc>
          <w:tcPr>
            <w:tcW w:w="6174"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3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right"/>
              <w:rPr/>
            </w:pPr>
            <w:r>
              <w:rPr/>
              <w:t>(2</w:t>
            </w:r>
          </w:p>
        </w:tc>
        <w:tc>
          <w:tcPr>
            <w:tcW w:w="173" w:type="dxa"/>
            <w:tcBorders/>
            <w:vAlign w:val="bottom"/>
          </w:tcPr>
          <w:p>
            <w:pPr>
              <w:pStyle w:val="TableContents"/>
              <w:bidi w:val="0"/>
              <w:spacing w:before="0" w:after="283"/>
              <w:jc w:val="left"/>
              <w:rPr/>
            </w:pPr>
            <w:r>
              <w:rPr/>
              <w:t>) </w:t>
            </w:r>
          </w:p>
        </w:tc>
      </w:tr>
      <w:tr>
        <w:trPr/>
        <w:tc>
          <w:tcPr>
            <w:tcW w:w="6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Listing fees</w:t>
            </w:r>
          </w:p>
        </w:tc>
        <w:tc>
          <w:tcPr>
            <w:tcW w:w="3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right"/>
              <w:rPr/>
            </w:pPr>
            <w:r>
              <w:rPr/>
              <w:t>(2</w:t>
            </w:r>
          </w:p>
        </w:tc>
        <w:tc>
          <w:tcPr>
            <w:tcW w:w="173" w:type="dxa"/>
            <w:tcBorders/>
            <w:shd w:fill="CCEEFF" w:val="clear"/>
            <w:vAlign w:val="bottom"/>
          </w:tcPr>
          <w:p>
            <w:pPr>
              <w:pStyle w:val="TableContents"/>
              <w:bidi w:val="0"/>
              <w:spacing w:before="0" w:after="283"/>
              <w:jc w:val="left"/>
              <w:rPr/>
            </w:pPr>
            <w:r>
              <w:rPr/>
              <w:t>) </w:t>
            </w:r>
          </w:p>
        </w:tc>
      </w:tr>
      <w:tr>
        <w:trPr/>
        <w:tc>
          <w:tcPr>
            <w:tcW w:w="6174" w:type="dxa"/>
            <w:tcBorders/>
          </w:tcPr>
          <w:p>
            <w:pPr>
              <w:pStyle w:val="TableContents"/>
              <w:bidi w:val="0"/>
              <w:spacing w:before="0" w:after="0"/>
              <w:jc w:val="left"/>
              <w:rPr>
                <w:rFonts w:ascii="Times New Roman" w:hAnsi="Times New Roman"/>
                <w:sz w:val="20"/>
              </w:rPr>
            </w:pPr>
            <w:r>
              <w:rPr>
                <w:rFonts w:ascii="Times New Roman" w:hAnsi="Times New Roman"/>
                <w:sz w:val="20"/>
              </w:rPr>
              <w:t>Transfer agent or trustee fees</w:t>
            </w:r>
          </w:p>
        </w:tc>
        <w:tc>
          <w:tcPr>
            <w:tcW w:w="3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right"/>
              <w:rPr/>
            </w:pPr>
            <w:r>
              <w:rPr/>
              <w:t>(2</w:t>
            </w:r>
          </w:p>
        </w:tc>
        <w:tc>
          <w:tcPr>
            <w:tcW w:w="173" w:type="dxa"/>
            <w:tcBorders/>
            <w:vAlign w:val="bottom"/>
          </w:tcPr>
          <w:p>
            <w:pPr>
              <w:pStyle w:val="TableContents"/>
              <w:bidi w:val="0"/>
              <w:spacing w:before="0" w:after="283"/>
              <w:jc w:val="left"/>
              <w:rPr/>
            </w:pPr>
            <w:r>
              <w:rPr/>
              <w:t>) </w:t>
            </w:r>
          </w:p>
        </w:tc>
      </w:tr>
      <w:tr>
        <w:trPr/>
        <w:tc>
          <w:tcPr>
            <w:tcW w:w="6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3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right"/>
              <w:rPr/>
            </w:pPr>
            <w:r>
              <w:rPr/>
              <w:t>(2</w:t>
            </w:r>
          </w:p>
        </w:tc>
        <w:tc>
          <w:tcPr>
            <w:tcW w:w="173" w:type="dxa"/>
            <w:tcBorders/>
            <w:shd w:fill="CCEEFF" w:val="clear"/>
            <w:vAlign w:val="bottom"/>
          </w:tcPr>
          <w:p>
            <w:pPr>
              <w:pStyle w:val="TableContents"/>
              <w:bidi w:val="0"/>
              <w:spacing w:before="0" w:after="283"/>
              <w:jc w:val="left"/>
              <w:rPr/>
            </w:pPr>
            <w:r>
              <w:rPr/>
              <w:t>) </w:t>
            </w:r>
          </w:p>
        </w:tc>
      </w:tr>
      <w:tr>
        <w:trPr/>
        <w:tc>
          <w:tcPr>
            <w:tcW w:w="6174"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6174"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right"/>
              <w:rPr/>
            </w:pPr>
            <w:r>
              <w:rPr/>
              <w:t>(2</w:t>
            </w:r>
          </w:p>
        </w:tc>
        <w:tc>
          <w:tcPr>
            <w:tcW w:w="173"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deferred pursuant to Rule 456(b) under the Securities Act and calculated in connection with the offering of securities under this registration statement pursuant to Rule 457(r) under the Securities Act.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estimated at this time.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MGCL permits a corporation formed in Maryland to include in its charter a provision limiting the liability of its directors and officers to the corporation and its stockholders for money damages except for liability resulting from (1) active and deliberate dishonesty which is established by a final judgment and is material to that cause of action, or (2) actual receipt of an improper benefit or profit in money, property or services. Our Charter includes a provision that eliminates the liability of our directors and officers to us and to our stockholders for money damages to the fullest extent permitted by the MGCL. </w:t>
      </w:r>
    </w:p>
    <w:p>
      <w:pPr>
        <w:pStyle w:val="TextBody"/>
        <w:bidi w:val="0"/>
        <w:spacing w:before="240" w:after="0"/>
        <w:jc w:val="left"/>
        <w:rPr>
          <w:rFonts w:ascii="Times New Roman" w:hAnsi="Times New Roman"/>
          <w:sz w:val="20"/>
        </w:rPr>
      </w:pPr>
      <w:r>
        <w:rPr>
          <w:rFonts w:ascii="Times New Roman" w:hAnsi="Times New Roman"/>
          <w:sz w:val="20"/>
        </w:rPr>
        <w:t xml:space="preserve">Our Charter and Bylaws require us to indemnify our present and former officers and directors, whether serving us or at our request another entity, to the maximum extent permitted under the MGCL, and to pay or reimburse reasonable expenses in advance of the final disposition of the proceeding to the maximum extent permitted from time to time by the laws of Maryland. Our Bylaws also permit us, with the approval of our board of directors, to indemnify and advance expenses to any person who served a predecessor of ours in any of the capacities described above and to any employee or agent of our Company or a predecessor of our Company. Our Charter and Bylaws provide that the indemnification rights are non-exclusive of any other rights to which those seeking indemnification may be entitled. The MGCL permits a corporation to indemnify its present and former directors and officers, among others, against judgments, penalties, fines, settlements and reasonable expenses actually incurred by them in connection with any proceeding to which they may be made or are threatened to be made a party or witness by reason of their service in those or other capacities unless it is established that (1) the act or omission of the director or officer was material to the matter giving rise to the proceeding and (a) was committed in bad faith, or (b) was the result of active and deliberate dishonesty; (2) the director or officer actually received an improper personal benefit in money, property or services; or (3) in the case of any criminal proceeding, the director or officer had reasonable cause to believe that the act or omission was unlawful. In addition, the MGCL requires us, as conditions to advancing expenses, to obtain (1) a written affirmation by the director or officer of his or her good faith belief that he or she has met the standard of conduct necessary for indemnification by us and (2) a written undertaking by him or her or on his or her behalf to repay the amount paid or reimbursed by us if it is ultimately determined that the standard of conduct was not met. The MGCL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However, under the MGCL, a Maryland corporation may not indemnify a director or officer for an adverse judgment in a suit by or in the right of the corporation or for a judgment of liability on the basis that a personal benefit was improperly received unless in either case, a court orders indemnification and then only for expenses. Our Bylaws specify the procedures for indemnification and advance of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partnership agreement of the Operating Partnership also provides for indemnification of us and our officers and directors similar to that provided to our officers and directors in our Charter and Bylaws, and includes limitations on the liability of our Company and our officers and directors to the partnership and its partners similar to those contained in our Charter and Bylaws. </w:t>
      </w:r>
    </w:p>
    <w:p>
      <w:pPr>
        <w:pStyle w:val="TextBody"/>
        <w:bidi w:val="0"/>
        <w:spacing w:before="240" w:after="0"/>
        <w:jc w:val="left"/>
        <w:rPr>
          <w:rFonts w:ascii="Times New Roman" w:hAnsi="Times New Roman"/>
          <w:sz w:val="20"/>
        </w:rPr>
      </w:pPr>
      <w:r>
        <w:rPr>
          <w:rFonts w:ascii="Times New Roman" w:hAnsi="Times New Roman"/>
          <w:sz w:val="20"/>
        </w:rPr>
        <w:t xml:space="preserve">We and the Operating Partnership have entered into indemnification agreements with our directors and certain of our executive officers. The indemnification agreements require, among other things, that we and the Operating Partnership indemnify those directors and executive officers to the fullest extent permitted by law, and advance to them all related reasonable expenses, subject to certain defenses. We and the Operating Partnership must also indemnify and advance all expenses incurred by those directors and executive officers seeking to enforce their rights under the indemnification agreements, and cover them under our director’s and officer’s liability insurance. Although the indemnification agreements offer substantially the same scope of coverage afforded by provisions in our Charter and our Bylaws and the partnership agreement, it provides greater assurance to directors and officers that indemnification will be available, because, as a contract, it cannot be modified unilaterally in the future by our board of directors, by the stockholders or by the partners of the Operating Partnership to eliminate the rights it provides.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42"/>
        <w:gridCol w:w="494"/>
        <w:gridCol w:w="8569"/>
      </w:tblGrid>
      <w:tr>
        <w:trPr/>
        <w:tc>
          <w:tcPr>
            <w:tcW w:w="1142" w:type="dxa"/>
            <w:tcBorders/>
            <w:vAlign w:val="center"/>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8569" w:type="dxa"/>
            <w:tcBorders/>
            <w:vAlign w:val="center"/>
          </w:tcPr>
          <w:p>
            <w:pPr>
              <w:pStyle w:val="TableContents"/>
              <w:bidi w:val="0"/>
              <w:spacing w:before="0" w:after="283"/>
              <w:jc w:val="left"/>
              <w:rPr>
                <w:sz w:val="4"/>
                <w:szCs w:val="4"/>
              </w:rPr>
            </w:pPr>
            <w:r>
              <w:rPr>
                <w:sz w:val="4"/>
                <w:szCs w:val="4"/>
              </w:rPr>
            </w:r>
          </w:p>
        </w:tc>
      </w:tr>
      <w:tr>
        <w:trPr/>
        <w:tc>
          <w:tcPr>
            <w:tcW w:w="1142" w:type="dxa"/>
            <w:tcBorders/>
            <w:vAlign w:val="bottom"/>
          </w:tcPr>
          <w:p>
            <w:pPr>
              <w:pStyle w:val="TableContents"/>
              <w:bidi w:val="0"/>
              <w:spacing w:before="0" w:after="283"/>
              <w:jc w:val="left"/>
              <w:rPr>
                <w:b/>
              </w:rPr>
            </w:pPr>
            <w:r>
              <w:rPr>
                <w:b/>
              </w:rPr>
              <w:t>EXHIBIT</w:t>
              <w:br/>
              <w:t>NUMBER</w:t>
            </w:r>
          </w:p>
        </w:tc>
        <w:tc>
          <w:tcPr>
            <w:tcW w:w="494" w:type="dxa"/>
            <w:tcBorders/>
            <w:vAlign w:val="bottom"/>
          </w:tcPr>
          <w:p>
            <w:pPr>
              <w:pStyle w:val="TableContents"/>
              <w:bidi w:val="0"/>
              <w:spacing w:before="0" w:after="283"/>
              <w:jc w:val="left"/>
              <w:rPr/>
            </w:pPr>
            <w:r>
              <w:rPr/>
              <w:t>  </w:t>
            </w:r>
          </w:p>
        </w:tc>
        <w:tc>
          <w:tcPr>
            <w:tcW w:w="8569" w:type="dxa"/>
            <w:tcBorders/>
            <w:vAlign w:val="bottom"/>
          </w:tcPr>
          <w:p>
            <w:pPr>
              <w:pStyle w:val="TableContents"/>
              <w:bidi w:val="0"/>
              <w:spacing w:before="0" w:after="283"/>
              <w:jc w:val="left"/>
              <w:rPr>
                <w:b/>
              </w:rPr>
            </w:pPr>
            <w:r>
              <w:rPr>
                <w:b/>
              </w:rPr>
              <w:t>DESCRIPTION</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center"/>
              <w:rPr/>
            </w:pPr>
            <w:r>
              <w:rPr/>
              <w:t>  </w:t>
            </w:r>
            <w:r>
              <w:rPr/>
              <w:t>1.1</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Underwriting Agreement (to be filed by amendment to this registration statement or under cover of a Current Report on Form 8-K incorporated by reference herein)</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center"/>
              <w:rPr/>
            </w:pPr>
            <w:r>
              <w:rPr/>
              <w:t>  </w:t>
            </w:r>
            <w:r>
              <w:rPr/>
              <w:t>4.1</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Articles of Amendment and Restatement of the Company (incorporated by reference as an exhibit to the Company’s Registration Statement on Form S-11, as amended (No. 33-68964)) (Filed in paper – hyperlink is not required pursuant to Rule 105 of Regulation S-T)</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center"/>
              <w:rPr/>
            </w:pPr>
            <w:r>
              <w:rPr/>
              <w:t>  </w:t>
            </w:r>
            <w:r>
              <w:rPr/>
              <w:t>4.2</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Articles Supplementary of the Company (incorporated by reference as an exhibit to the Company’s Current Report on Form 8-K, event date May 30, 1995) (Filed in paper – hyperlink is not required pursuant to Rule 105 of Regulation S-T)</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center"/>
              <w:rPr/>
            </w:pPr>
            <w:r>
              <w:rPr/>
              <w:t>  </w:t>
            </w:r>
            <w:r>
              <w:rPr/>
              <w:t>4.3</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hyperlink r:id="rId13">
              <w:r>
                <w:rPr>
                  <w:rStyle w:val="InternetLink"/>
                </w:rPr>
                <w:t>Articles Supplementary of the Company (with respect to the first paragraph) (incorporated by reference as an exhibit to the Company’s 1998 Form 10-K)</w:t>
              </w:r>
            </w:hyperlink>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center"/>
              <w:rPr/>
            </w:pPr>
            <w:r>
              <w:rPr/>
              <w:t>  </w:t>
            </w:r>
            <w:r>
              <w:rPr/>
              <w:t>4.4</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hyperlink r:id="rId14">
              <w:r>
                <w:rPr>
                  <w:rStyle w:val="InternetLink"/>
                </w:rPr>
                <w:t>Articles Supplementary of the Company (Series D Preferred Stock) (incorporated by reference as an exhibit to the Company’s Current Report on Form 8-K, event date July 26, 2002)</w:t>
              </w:r>
            </w:hyperlink>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center"/>
              <w:rPr/>
            </w:pPr>
            <w:r>
              <w:rPr/>
              <w:t>  </w:t>
            </w:r>
            <w:r>
              <w:rPr/>
              <w:t>4.5</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hyperlink r:id="rId15">
              <w:r>
                <w:rPr>
                  <w:rStyle w:val="InternetLink"/>
                </w:rPr>
                <w:t>Articles Supplementary of the Company (incorporated by reference as an exhibit to the Company’s Registration Statement on Form S-3, as amended (No. 333-88718))</w:t>
              </w:r>
            </w:hyperlink>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center"/>
              <w:rPr/>
            </w:pPr>
            <w:r>
              <w:rPr/>
              <w:t>  </w:t>
            </w:r>
            <w:r>
              <w:rPr/>
              <w:t>4.6</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hyperlink r:id="rId16">
              <w:r>
                <w:rPr>
                  <w:rStyle w:val="InternetLink"/>
                </w:rPr>
                <w:t>Articles of Amendment of the Company, as corrected by a Certificate of Correction (Declassification of Board) (incorporated by reference as an exhibit to the Company’s 2008 Form 10-K)</w:t>
              </w:r>
            </w:hyperlink>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center"/>
              <w:rPr/>
            </w:pPr>
            <w:r>
              <w:rPr/>
              <w:t>  </w:t>
            </w:r>
            <w:r>
              <w:rPr/>
              <w:t>4.7</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hyperlink r:id="rId17">
              <w:r>
                <w:rPr>
                  <w:rStyle w:val="InternetLink"/>
                </w:rPr>
                <w:t>Articles Supplementary of the Company (incorporated by reference as an exhibit to the Company’s Current Report on Form 8-K, event date February 5, 2009)</w:t>
              </w:r>
            </w:hyperlink>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center"/>
              <w:rPr/>
            </w:pPr>
            <w:r>
              <w:rPr/>
              <w:t>  </w:t>
            </w:r>
            <w:r>
              <w:rPr/>
              <w:t>4.8</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hyperlink r:id="rId18">
              <w:r>
                <w:rPr>
                  <w:rStyle w:val="InternetLink"/>
                </w:rPr>
                <w:t>Articles of Amendment of the Company (Increased Authorized Shares) (incorporated by reference as an exhibit to the Company’s Quarterly Report on Form 10-Q for the quarter ended June 30, 2009)</w:t>
              </w:r>
            </w:hyperlink>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center"/>
              <w:rPr/>
            </w:pPr>
            <w:r>
              <w:rPr/>
              <w:t>  </w:t>
            </w:r>
            <w:r>
              <w:rPr/>
              <w:t>4.9</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hyperlink r:id="rId19">
              <w:r>
                <w:rPr>
                  <w:rStyle w:val="InternetLink"/>
                </w:rPr>
                <w:t>Articles of Amendment of the Company (To Eliminate the Supermajority Vote Requirement to Amend the Charter and to Clarify a Reference in Article NINTH) (incorporated by reference as an exhibit to the Company’s Current Report on Form 8-K, event date May 30, 2014)</w:t>
              </w:r>
            </w:hyperlink>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center"/>
              <w:rPr/>
            </w:pPr>
            <w:r>
              <w:rPr/>
              <w:t>  </w:t>
            </w:r>
            <w:r>
              <w:rPr/>
              <w:t>4.10</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hyperlink r:id="rId20">
              <w:r>
                <w:rPr>
                  <w:rStyle w:val="InternetLink"/>
                </w:rPr>
                <w:t>Articles Supplementary of the Company (Election to be Subject to Section  3-803 of the MGCL) (incorporated by reference as an exhibit to the Company’s Current Report on Form 8-K, event date March 17, 2015)</w:t>
              </w:r>
            </w:hyperlink>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center"/>
              <w:rPr/>
            </w:pPr>
            <w:r>
              <w:rPr/>
              <w:t>  </w:t>
            </w:r>
            <w:r>
              <w:rPr/>
              <w:t>4.11</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hyperlink r:id="rId21">
              <w:r>
                <w:rPr>
                  <w:rStyle w:val="InternetLink"/>
                </w:rPr>
                <w:t>Articles Supplementary of the Company (Designation of Series E Preferred Stock) (incorporated by reference as an exhibit to the Company’s Current Report on Form 8-K, event date March 18, 2015)</w:t>
              </w:r>
            </w:hyperlink>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center"/>
              <w:rPr/>
            </w:pPr>
            <w:r>
              <w:rPr/>
              <w:t>  </w:t>
            </w:r>
            <w:r>
              <w:rPr/>
              <w:t>4.12</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hyperlink r:id="rId22">
              <w:r>
                <w:rPr>
                  <w:rStyle w:val="InternetLink"/>
                </w:rPr>
                <w:t>Articles Supplementary of the Company (Reclassification of Series E Preferred Stock to Preferred Stock) (incorporated by reference as an exhibit to the Company’s Current Report on Form 8-K, event date May 7, 2015)</w:t>
              </w:r>
            </w:hyperlink>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center"/>
              <w:rPr/>
            </w:pPr>
            <w:r>
              <w:rPr/>
              <w:t>  </w:t>
            </w:r>
            <w:r>
              <w:rPr/>
              <w:t>4.13</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hyperlink r:id="rId23">
              <w:r>
                <w:rPr>
                  <w:rStyle w:val="InternetLink"/>
                </w:rPr>
                <w:t>Articles Supplementary of the Company (Repeal of Election to be Subject to Section  3-803 of the MGCL) (incorporated by reference as an exhibit to the Company’s Current Report on Form 8-K, event date May 28, 2015)</w:t>
              </w:r>
            </w:hyperlink>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center"/>
              <w:rPr/>
            </w:pPr>
            <w:r>
              <w:rPr/>
              <w:t>  </w:t>
            </w:r>
            <w:r>
              <w:rPr/>
              <w:t>4.14</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hyperlink r:id="rId24">
              <w:r>
                <w:rPr>
                  <w:rStyle w:val="InternetLink"/>
                </w:rPr>
                <w:t>Articles Supplementary of the Company (Opting Out of Provisions of Subtitle 8 of Title 3 of the MGCL (MUTA Provisions)) (incorporated by reference as an exhibit to the Company’s Current Report on Form 8-K, event date April 24, 2019)</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142"/>
        <w:gridCol w:w="494"/>
        <w:gridCol w:w="8569"/>
      </w:tblGrid>
      <w:tr>
        <w:trPr/>
        <w:tc>
          <w:tcPr>
            <w:tcW w:w="1142" w:type="dxa"/>
            <w:tcBorders/>
            <w:vAlign w:val="center"/>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8569" w:type="dxa"/>
            <w:tcBorders/>
            <w:vAlign w:val="center"/>
          </w:tcPr>
          <w:p>
            <w:pPr>
              <w:pStyle w:val="TableContents"/>
              <w:bidi w:val="0"/>
              <w:spacing w:before="0" w:after="283"/>
              <w:jc w:val="left"/>
              <w:rPr>
                <w:sz w:val="4"/>
                <w:szCs w:val="4"/>
              </w:rPr>
            </w:pPr>
            <w:r>
              <w:rPr>
                <w:sz w:val="4"/>
                <w:szCs w:val="4"/>
              </w:rPr>
            </w:r>
          </w:p>
        </w:tc>
      </w:tr>
      <w:tr>
        <w:trPr/>
        <w:tc>
          <w:tcPr>
            <w:tcW w:w="1142" w:type="dxa"/>
            <w:tcBorders/>
            <w:vAlign w:val="bottom"/>
          </w:tcPr>
          <w:p>
            <w:pPr>
              <w:pStyle w:val="TableContents"/>
              <w:bidi w:val="0"/>
              <w:spacing w:before="0" w:after="283"/>
              <w:jc w:val="left"/>
              <w:rPr>
                <w:b/>
              </w:rPr>
            </w:pPr>
            <w:r>
              <w:rPr>
                <w:b/>
              </w:rPr>
              <w:t>EXHIBIT</w:t>
              <w:br/>
              <w:t>NUMBER</w:t>
            </w:r>
          </w:p>
        </w:tc>
        <w:tc>
          <w:tcPr>
            <w:tcW w:w="494" w:type="dxa"/>
            <w:tcBorders/>
            <w:vAlign w:val="bottom"/>
          </w:tcPr>
          <w:p>
            <w:pPr>
              <w:pStyle w:val="TableContents"/>
              <w:bidi w:val="0"/>
              <w:spacing w:before="0" w:after="283"/>
              <w:jc w:val="left"/>
              <w:rPr/>
            </w:pPr>
            <w:r>
              <w:rPr/>
              <w:t>  </w:t>
            </w:r>
          </w:p>
        </w:tc>
        <w:tc>
          <w:tcPr>
            <w:tcW w:w="8569" w:type="dxa"/>
            <w:tcBorders/>
            <w:vAlign w:val="bottom"/>
          </w:tcPr>
          <w:p>
            <w:pPr>
              <w:pStyle w:val="TableContents"/>
              <w:bidi w:val="0"/>
              <w:spacing w:before="0" w:after="283"/>
              <w:jc w:val="left"/>
              <w:rPr>
                <w:b/>
              </w:rPr>
            </w:pPr>
            <w:r>
              <w:rPr>
                <w:b/>
              </w:rPr>
              <w:t>DESCRIPTION</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t>4.15</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hyperlink r:id="rId25">
              <w:r>
                <w:rPr>
                  <w:rStyle w:val="InternetLink"/>
                </w:rPr>
                <w:t>Articles of Amendment of the Company (Increased Authorized Shares) (incorporated by reference as an exhibit to the Company’s Current Report on Form 8-K, event date May 28, 2021)</w:t>
              </w:r>
            </w:hyperlink>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t>4.16</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hyperlink r:id="rId26">
              <w:r>
                <w:rPr>
                  <w:rStyle w:val="InternetLink"/>
                </w:rPr>
                <w:t>Amended and Restated Bylaws of the Company (incorporated by reference as an exhibit to the Company’s Current Report on Form 8-K, event date January 26, 2023)</w:t>
              </w:r>
            </w:hyperlink>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t>4.17</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hyperlink r:id="rId27">
              <w:r>
                <w:rPr>
                  <w:rStyle w:val="InternetLink"/>
                </w:rPr>
                <w:t>Form of Common Stock Certificate (incorporated by reference as an exhibit to the Company’s Current Report on Form 8-K, as amended, event date November 10, 1998)</w:t>
              </w:r>
            </w:hyperlink>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t>4.18</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hyperlink r:id="rId28">
              <w:r>
                <w:rPr>
                  <w:rStyle w:val="InternetLink"/>
                </w:rPr>
                <w:t>Form of Preferred Stock Certificate (Series D Preferred Stock) (incorporated by reference as an exhibit to the Company’s Registration Statement on Form S-3 (No. 333-107063))</w:t>
              </w:r>
            </w:hyperlink>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t>4.19</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Form of Deposit Agreement, including form of Depositary Receipt (to be filed by amendment to this registration statement or under cover of a Current Report on Form 8-K incorporated by reference herein)</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t>4.20</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hyperlink w:anchor="d158325dex420.htm">
              <w:r>
                <w:rPr>
                  <w:rStyle w:val="InternetLink"/>
                </w:rPr>
                <w:t xml:space="preserve">Form of Indenture for Senior Debt Securities </w:t>
              </w:r>
            </w:hyperlink>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t>4.21</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hyperlink w:anchor="d158325dex421.htm">
              <w:r>
                <w:rPr>
                  <w:rStyle w:val="InternetLink"/>
                </w:rPr>
                <w:t xml:space="preserve">Form of Indenture for Subordinated Debt Securities </w:t>
              </w:r>
            </w:hyperlink>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t>4.22</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Form of Note for Senior Debt Securities (to be filed by amendment to this registration statement or under cover of a Current Report on Form 8-K incorporated herein by reference)</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t>4.23</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Form of Note for Subordinated Debt Securities (to be filed by amendment to this registration statement or under cover of a Current Report on Form 8-K incorporated herein by reference)</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t>4.24</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Form of Warrant Agreement (to be filed by amendment to this registration statement or under cover of a Current Report on Form 8-K incorporated herein by reference)</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t>4.25</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Form of Rights Agreement (to be filed by amendment to this registration statement or under cover of a Current Report on Form 8-K incorporated herein by reference)</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t>4.26</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Form of Stock Purchase Contract Agreement (to be filed by amendment to this registration statement or under cover of a Current Report on Form 8-K incorporated herein by reference)</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t>4.27</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Form of Unit Agreement (to be filed by amendment to this registration statement or under cover of a Current Report on Form 8-K incorporated herein by reference)</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t>5.1</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hyperlink w:anchor="d158325dex51.htm">
              <w:r>
                <w:rPr>
                  <w:rStyle w:val="InternetLink"/>
                </w:rPr>
                <w:t xml:space="preserve">Opinion of Venable LLP </w:t>
              </w:r>
            </w:hyperlink>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t>5.2</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hyperlink w:anchor="d158325dex52.htm">
              <w:r>
                <w:rPr>
                  <w:rStyle w:val="InternetLink"/>
                </w:rPr>
                <w:t xml:space="preserve">Opinion of Goodwin Procter LLP </w:t>
              </w:r>
            </w:hyperlink>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t>8.1</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hyperlink w:anchor="d158325dex81.htm">
              <w:r>
                <w:rPr>
                  <w:rStyle w:val="InternetLink"/>
                </w:rPr>
                <w:t xml:space="preserve">Opinion of Goodwin Procter LLP regarding certain tax matters </w:t>
              </w:r>
            </w:hyperlink>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t>23.1</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hyperlink w:anchor="d158325dex231.htm">
              <w:r>
                <w:rPr>
                  <w:rStyle w:val="InternetLink"/>
                </w:rPr>
                <w:t xml:space="preserve">Consent of KPMG LLP </w:t>
              </w:r>
            </w:hyperlink>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t>23.2</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hyperlink w:anchor="d158325dex51.htm">
              <w:r>
                <w:rPr>
                  <w:rStyle w:val="InternetLink"/>
                </w:rPr>
                <w:t xml:space="preserve">Consent of Venable LLP (contained in Exhibit 5.1) </w:t>
              </w:r>
            </w:hyperlink>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t>23.3</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 xml:space="preserve">Consent of Goodwin Procter LLP (contained in </w:t>
            </w:r>
            <w:hyperlink w:anchor="d158325dex52.htm">
              <w:r>
                <w:rPr>
                  <w:rStyle w:val="InternetLink"/>
                </w:rPr>
                <w:t>Exhibits 5.2</w:t>
              </w:r>
            </w:hyperlink>
            <w:r>
              <w:rPr/>
              <w:t xml:space="preserve"> and </w:t>
            </w:r>
            <w:hyperlink w:anchor="d158325dex81.htm">
              <w:r>
                <w:rPr>
                  <w:rStyle w:val="InternetLink"/>
                </w:rPr>
                <w:t>8.1</w:t>
              </w:r>
            </w:hyperlink>
            <w:r>
              <w:rPr/>
              <w:t>)</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t>24.1</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hyperlink w:anchor="sig">
              <w:r>
                <w:rPr>
                  <w:rStyle w:val="InternetLink"/>
                </w:rPr>
                <w:t xml:space="preserve">Power of Attorney (contained on signature page hereto) </w:t>
              </w:r>
            </w:hyperlink>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t>25.1</w:t>
            </w:r>
          </w:p>
        </w:tc>
        <w:tc>
          <w:tcPr>
            <w:tcW w:w="494"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Statement of Eligibility and Qualification of Trustee under the Senior Indenture under the Trust Indenture Act of 1939, as amended (to be filed, if necessary, separately under the electronic form type 305B2 pursuant to Section 305(b)(2) of the Trust Indenture Act of 1934, as amended)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120"/>
        <w:gridCol w:w="576"/>
        <w:gridCol w:w="8509"/>
      </w:tblGrid>
      <w:tr>
        <w:trPr/>
        <w:tc>
          <w:tcPr>
            <w:tcW w:w="1120" w:type="dxa"/>
            <w:tcBorders/>
            <w:vAlign w:val="center"/>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8509" w:type="dxa"/>
            <w:tcBorders/>
            <w:vAlign w:val="center"/>
          </w:tcPr>
          <w:p>
            <w:pPr>
              <w:pStyle w:val="TableContents"/>
              <w:bidi w:val="0"/>
              <w:spacing w:before="0" w:after="283"/>
              <w:jc w:val="left"/>
              <w:rPr>
                <w:sz w:val="4"/>
                <w:szCs w:val="4"/>
              </w:rPr>
            </w:pPr>
            <w:r>
              <w:rPr>
                <w:sz w:val="4"/>
                <w:szCs w:val="4"/>
              </w:rPr>
            </w:r>
          </w:p>
        </w:tc>
      </w:tr>
      <w:tr>
        <w:trPr/>
        <w:tc>
          <w:tcPr>
            <w:tcW w:w="1120" w:type="dxa"/>
            <w:tcBorders/>
            <w:vAlign w:val="bottom"/>
          </w:tcPr>
          <w:p>
            <w:pPr>
              <w:pStyle w:val="TableContents"/>
              <w:bidi w:val="0"/>
              <w:spacing w:before="0" w:after="283"/>
              <w:jc w:val="left"/>
              <w:rPr>
                <w:b/>
              </w:rPr>
            </w:pPr>
            <w:r>
              <w:rPr>
                <w:b/>
              </w:rPr>
              <w:t>EXHIBIT</w:t>
              <w:br/>
              <w:t>NUMBER</w:t>
            </w:r>
          </w:p>
        </w:tc>
        <w:tc>
          <w:tcPr>
            <w:tcW w:w="576" w:type="dxa"/>
            <w:tcBorders/>
            <w:vAlign w:val="bottom"/>
          </w:tcPr>
          <w:p>
            <w:pPr>
              <w:pStyle w:val="TableContents"/>
              <w:bidi w:val="0"/>
              <w:spacing w:before="0" w:after="283"/>
              <w:jc w:val="left"/>
              <w:rPr/>
            </w:pPr>
            <w:r>
              <w:rPr/>
              <w:t>  </w:t>
            </w:r>
          </w:p>
        </w:tc>
        <w:tc>
          <w:tcPr>
            <w:tcW w:w="8509" w:type="dxa"/>
            <w:tcBorders/>
            <w:vAlign w:val="bottom"/>
          </w:tcPr>
          <w:p>
            <w:pPr>
              <w:pStyle w:val="TableContents"/>
              <w:bidi w:val="0"/>
              <w:spacing w:before="0" w:after="283"/>
              <w:jc w:val="left"/>
              <w:rPr>
                <w:b/>
              </w:rPr>
            </w:pPr>
            <w:r>
              <w:rPr>
                <w:b/>
              </w:rPr>
              <w:t>DESCRIPTION</w:t>
            </w:r>
          </w:p>
        </w:tc>
      </w:tr>
      <w:tr>
        <w:trPr>
          <w:trHeight w:val="120" w:hRule="atLeast"/>
        </w:trPr>
        <w:tc>
          <w:tcPr>
            <w:tcW w:w="1120" w:type="dxa"/>
            <w:tcBorders/>
            <w:vAlign w:val="center"/>
          </w:tcPr>
          <w:p>
            <w:pPr>
              <w:pStyle w:val="TableContents"/>
              <w:bidi w:val="0"/>
              <w:spacing w:before="0" w:after="283"/>
              <w:jc w:val="left"/>
              <w:rPr>
                <w:sz w:val="4"/>
                <w:szCs w:val="4"/>
              </w:rPr>
            </w:pPr>
            <w:r>
              <w:rPr>
                <w:sz w:val="4"/>
                <w:szCs w:val="4"/>
              </w:rPr>
            </w:r>
          </w:p>
        </w:tc>
        <w:tc>
          <w:tcPr>
            <w:tcW w:w="9085" w:type="dxa"/>
            <w:gridSpan w:val="2"/>
            <w:tcBorders/>
            <w:vAlign w:val="center"/>
          </w:tcPr>
          <w:p>
            <w:pPr>
              <w:pStyle w:val="TableContents"/>
              <w:bidi w:val="0"/>
              <w:spacing w:before="0" w:after="283"/>
              <w:jc w:val="left"/>
              <w:rPr>
                <w:sz w:val="4"/>
                <w:szCs w:val="4"/>
              </w:rPr>
            </w:pPr>
            <w:r>
              <w:rPr>
                <w:sz w:val="4"/>
                <w:szCs w:val="4"/>
              </w:rPr>
            </w:r>
          </w:p>
        </w:tc>
      </w:tr>
      <w:tr>
        <w:trPr/>
        <w:tc>
          <w:tcPr>
            <w:tcW w:w="1120" w:type="dxa"/>
            <w:tcBorders/>
          </w:tcPr>
          <w:p>
            <w:pPr>
              <w:pStyle w:val="TableContents"/>
              <w:bidi w:val="0"/>
              <w:spacing w:before="0" w:after="283"/>
              <w:jc w:val="left"/>
              <w:rPr/>
            </w:pPr>
            <w:r>
              <w:rPr/>
              <w:t> </w:t>
            </w:r>
            <w:r>
              <w:rPr/>
              <w:t>25.2</w:t>
            </w:r>
          </w:p>
        </w:tc>
        <w:tc>
          <w:tcPr>
            <w:tcW w:w="576" w:type="dxa"/>
            <w:tcBorders/>
            <w:vAlign w:val="bottom"/>
          </w:tcPr>
          <w:p>
            <w:pPr>
              <w:pStyle w:val="TableContents"/>
              <w:bidi w:val="0"/>
              <w:spacing w:before="0" w:after="283"/>
              <w:jc w:val="left"/>
              <w:rPr/>
            </w:pPr>
            <w:r>
              <w:rPr/>
              <w:t>  </w:t>
            </w:r>
          </w:p>
        </w:tc>
        <w:tc>
          <w:tcPr>
            <w:tcW w:w="8509" w:type="dxa"/>
            <w:tcBorders/>
          </w:tcPr>
          <w:p>
            <w:pPr>
              <w:pStyle w:val="TableContents"/>
              <w:bidi w:val="0"/>
              <w:spacing w:before="0" w:after="283"/>
              <w:jc w:val="left"/>
              <w:rPr/>
            </w:pPr>
            <w:r>
              <w:rPr/>
              <w:t>Statement of Eligibility and Qualification of Trustee under the Subordinated Indenture under the Trust Indenture Act of 1939, as amended (to be filed, if necessary, separately under the electronic form type 305B2 pursuant to Section 305(b)(2) of the Trust Indenture Act of 1934, as amended)</w:t>
            </w:r>
          </w:p>
        </w:tc>
      </w:tr>
      <w:tr>
        <w:trPr>
          <w:trHeight w:val="120" w:hRule="atLeast"/>
        </w:trPr>
        <w:tc>
          <w:tcPr>
            <w:tcW w:w="1120" w:type="dxa"/>
            <w:tcBorders/>
            <w:vAlign w:val="center"/>
          </w:tcPr>
          <w:p>
            <w:pPr>
              <w:pStyle w:val="TableContents"/>
              <w:bidi w:val="0"/>
              <w:spacing w:before="0" w:after="283"/>
              <w:jc w:val="left"/>
              <w:rPr>
                <w:sz w:val="4"/>
                <w:szCs w:val="4"/>
              </w:rPr>
            </w:pPr>
            <w:r>
              <w:rPr>
                <w:sz w:val="4"/>
                <w:szCs w:val="4"/>
              </w:rPr>
            </w:r>
          </w:p>
        </w:tc>
        <w:tc>
          <w:tcPr>
            <w:tcW w:w="9085" w:type="dxa"/>
            <w:gridSpan w:val="2"/>
            <w:tcBorders/>
            <w:vAlign w:val="center"/>
          </w:tcPr>
          <w:p>
            <w:pPr>
              <w:pStyle w:val="TableContents"/>
              <w:bidi w:val="0"/>
              <w:spacing w:before="0" w:after="283"/>
              <w:jc w:val="left"/>
              <w:rPr>
                <w:sz w:val="4"/>
                <w:szCs w:val="4"/>
              </w:rPr>
            </w:pPr>
            <w:r>
              <w:rPr>
                <w:sz w:val="4"/>
                <w:szCs w:val="4"/>
              </w:rPr>
            </w:r>
          </w:p>
        </w:tc>
      </w:tr>
      <w:tr>
        <w:trPr/>
        <w:tc>
          <w:tcPr>
            <w:tcW w:w="1120" w:type="dxa"/>
            <w:tcBorders/>
          </w:tcPr>
          <w:p>
            <w:pPr>
              <w:pStyle w:val="TableContents"/>
              <w:bidi w:val="0"/>
              <w:spacing w:before="0" w:after="283"/>
              <w:jc w:val="left"/>
              <w:rPr/>
            </w:pPr>
            <w:r>
              <w:rPr/>
              <w:t>107</w:t>
            </w:r>
          </w:p>
        </w:tc>
        <w:tc>
          <w:tcPr>
            <w:tcW w:w="576" w:type="dxa"/>
            <w:tcBorders/>
            <w:vAlign w:val="bottom"/>
          </w:tcPr>
          <w:p>
            <w:pPr>
              <w:pStyle w:val="TableContents"/>
              <w:bidi w:val="0"/>
              <w:spacing w:before="0" w:after="283"/>
              <w:jc w:val="left"/>
              <w:rPr/>
            </w:pPr>
            <w:r>
              <w:rPr/>
              <w:t>  </w:t>
            </w:r>
          </w:p>
        </w:tc>
        <w:tc>
          <w:tcPr>
            <w:tcW w:w="8509" w:type="dxa"/>
            <w:tcBorders/>
          </w:tcPr>
          <w:p>
            <w:pPr>
              <w:pStyle w:val="TableContents"/>
              <w:bidi w:val="0"/>
              <w:spacing w:before="0" w:after="283"/>
              <w:jc w:val="left"/>
              <w:rPr/>
            </w:pPr>
            <w:hyperlink w:anchor="d158325dexfilingfees.htm">
              <w:r>
                <w:rPr>
                  <w:rStyle w:val="InternetLink"/>
                </w:rPr>
                <w:t xml:space="preserve">Calculation of Filing Fee Table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r>
        <w:rPr>
          <w:rFonts w:ascii="Times New Roman" w:hAnsi="Times New Roman"/>
          <w:i/>
          <w:sz w:val="20"/>
        </w:rPr>
        <w:t>provided, however</w:t>
      </w:r>
      <w:r>
        <w:rPr>
          <w:rFonts w:ascii="Times New Roman" w:hAnsi="Times New Roman"/>
          <w:sz w:val="20"/>
        </w:rPr>
        <w:t xml:space="preserve">, that paragraphs (a)(1)(i), (a)(1)(ii) and (a)(1)(iii)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 or is contained in a form of prospectus filed pursuant to Rule 424(b) that is part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each prospectus filed by the registrant pursuant to Rule 424(b)(3) shall be deemed to be part of the registration statement as of the date the filed prospectus was deemed part of and included in the registration statement; and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24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24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24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(6)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(7)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(8) To file an application for the purpose of determining the eligibility of the trustee to act under subsection (a) of Section 310 of the Trust Indenture Act in accordance with the rules and regulations prescribed by the SEC under Section 305(b)(2) of the Trust Indenture Act of 1939.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sig"/>
      <w:bookmarkEnd w:id="23"/>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Santa Monica, State of California, on August 5,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2"/>
        <w:gridCol w:w="61"/>
        <w:gridCol w:w="3639"/>
      </w:tblGrid>
      <w:tr>
        <w:trPr/>
        <w:tc>
          <w:tcPr>
            <w:tcW w:w="38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MACERICH COMPANY</w:t>
            </w:r>
          </w:p>
        </w:tc>
      </w:tr>
      <w:tr>
        <w:trPr>
          <w:trHeight w:val="240" w:hRule="atLeast"/>
        </w:trPr>
        <w:tc>
          <w:tcPr>
            <w:tcW w:w="382" w:type="dxa"/>
            <w:tcBorders/>
            <w:vAlign w:val="center"/>
          </w:tcPr>
          <w:p>
            <w:pPr>
              <w:pStyle w:val="TableContents"/>
              <w:bidi w:val="0"/>
              <w:spacing w:before="0" w:after="283"/>
              <w:jc w:val="left"/>
              <w:rPr>
                <w:sz w:val="4"/>
                <w:szCs w:val="4"/>
              </w:rPr>
            </w:pPr>
            <w:r>
              <w:rPr>
                <w:sz w:val="4"/>
                <w:szCs w:val="4"/>
              </w:rPr>
            </w:r>
          </w:p>
        </w:tc>
        <w:tc>
          <w:tcPr>
            <w:tcW w:w="3700" w:type="dxa"/>
            <w:gridSpan w:val="2"/>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JACKSON HSIEH</w:t>
            </w:r>
          </w:p>
        </w:tc>
      </w:tr>
      <w:tr>
        <w:trPr/>
        <w:tc>
          <w:tcPr>
            <w:tcW w:w="38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9" w:type="dxa"/>
            <w:tcBorders/>
          </w:tcPr>
          <w:p>
            <w:pPr>
              <w:pStyle w:val="TableContents"/>
              <w:bidi w:val="0"/>
              <w:spacing w:before="0" w:after="283"/>
              <w:jc w:val="left"/>
              <w:rPr/>
            </w:pPr>
            <w:r>
              <w:rPr/>
              <w:t>Jackson Hsieh</w:t>
            </w:r>
          </w:p>
        </w:tc>
      </w:tr>
      <w:tr>
        <w:trPr/>
        <w:tc>
          <w:tcPr>
            <w:tcW w:w="38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9" w:type="dxa"/>
            <w:tcBorders/>
          </w:tcPr>
          <w:p>
            <w:pPr>
              <w:pStyle w:val="TableContents"/>
              <w:bidi w:val="0"/>
              <w:spacing w:before="0" w:after="283"/>
              <w:jc w:val="left"/>
              <w:rPr>
                <w:i/>
              </w:rPr>
            </w:pPr>
            <w:r>
              <w:rPr>
                <w:i/>
              </w:rPr>
              <w:t>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the undersigned directors and officers of The Macerich Company, and each of us, do hereby constitute and appoint Jackson Hsieh, Daniel E. Swanstrom II and Ann C. Menard, or any one of them, our true and lawful attorneys and agents, each with power of substitution, to do any and all acts and things in our name and on our behalf in our capacities as directors and officers and to execute any and all instruments for us and in our names in the capacities indicated below, which said attorneys and agents, or any one of them, may deem necessary or advisable to enable said corporation to comply with the Securities Act of 1933, as amended, and any rules, regulations and requirements of the Securities and Exchange Commission, in connection with this Registration Statement, including specifically but without limitation, the power and authority to sign for us and any of us in our names in the capacities indicated below, any and all amendments (including post-effective amendments) hereto; and we do hereby ratify and confirm all that the said attorneys and agents, or their substitute or substitutes, or any one of them, shall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40"/>
        <w:gridCol w:w="120"/>
        <w:gridCol w:w="3201"/>
        <w:gridCol w:w="120"/>
        <w:gridCol w:w="3224"/>
      </w:tblGrid>
      <w:tr>
        <w:trPr/>
        <w:tc>
          <w:tcPr>
            <w:tcW w:w="35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4" w:type="dxa"/>
            <w:tcBorders/>
            <w:vAlign w:val="center"/>
          </w:tcPr>
          <w:p>
            <w:pPr>
              <w:pStyle w:val="TableContents"/>
              <w:bidi w:val="0"/>
              <w:spacing w:before="0" w:after="283"/>
              <w:jc w:val="left"/>
              <w:rPr>
                <w:sz w:val="4"/>
                <w:szCs w:val="4"/>
              </w:rPr>
            </w:pPr>
            <w:r>
              <w:rPr>
                <w:sz w:val="4"/>
                <w:szCs w:val="4"/>
              </w:rPr>
            </w:r>
          </w:p>
        </w:tc>
      </w:tr>
      <w:tr>
        <w:trPr/>
        <w:tc>
          <w:tcPr>
            <w:tcW w:w="35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20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322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540" w:type="dxa"/>
            <w:tcBorders/>
            <w:vAlign w:val="center"/>
          </w:tcPr>
          <w:p>
            <w:pPr>
              <w:pStyle w:val="TableContents"/>
              <w:bidi w:val="0"/>
              <w:spacing w:before="0" w:after="283"/>
              <w:jc w:val="left"/>
              <w:rPr>
                <w:sz w:val="4"/>
                <w:szCs w:val="4"/>
              </w:rPr>
            </w:pPr>
            <w:r>
              <w:rPr>
                <w:sz w:val="4"/>
                <w:szCs w:val="4"/>
              </w:rPr>
            </w:r>
          </w:p>
        </w:tc>
        <w:tc>
          <w:tcPr>
            <w:tcW w:w="3321" w:type="dxa"/>
            <w:gridSpan w:val="2"/>
            <w:tcBorders/>
            <w:vAlign w:val="center"/>
          </w:tcPr>
          <w:p>
            <w:pPr>
              <w:pStyle w:val="TableContents"/>
              <w:bidi w:val="0"/>
              <w:spacing w:before="0" w:after="283"/>
              <w:jc w:val="left"/>
              <w:rPr>
                <w:sz w:val="4"/>
                <w:szCs w:val="4"/>
              </w:rPr>
            </w:pPr>
            <w:r>
              <w:rPr>
                <w:sz w:val="4"/>
                <w:szCs w:val="4"/>
              </w:rPr>
            </w:r>
          </w:p>
        </w:tc>
        <w:tc>
          <w:tcPr>
            <w:tcW w:w="3344" w:type="dxa"/>
            <w:gridSpan w:val="2"/>
            <w:tcBorders/>
            <w:vAlign w:val="center"/>
          </w:tcPr>
          <w:p>
            <w:pPr>
              <w:pStyle w:val="TableContents"/>
              <w:bidi w:val="0"/>
              <w:spacing w:before="0" w:after="283"/>
              <w:jc w:val="left"/>
              <w:rPr>
                <w:sz w:val="4"/>
                <w:szCs w:val="4"/>
              </w:rPr>
            </w:pPr>
            <w:r>
              <w:rPr>
                <w:sz w:val="4"/>
                <w:szCs w:val="4"/>
              </w:rPr>
            </w:r>
          </w:p>
        </w:tc>
      </w:tr>
      <w:tr>
        <w:trPr/>
        <w:tc>
          <w:tcPr>
            <w:tcW w:w="354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JACKSON HSIEH</w:t>
            </w:r>
          </w:p>
          <w:p>
            <w:pPr>
              <w:pStyle w:val="TableContents"/>
              <w:bidi w:val="0"/>
              <w:spacing w:before="0" w:after="20"/>
              <w:jc w:val="center"/>
              <w:rPr>
                <w:rFonts w:ascii="Times New Roman" w:hAnsi="Times New Roman"/>
                <w:sz w:val="20"/>
              </w:rPr>
            </w:pPr>
            <w:r>
              <w:rPr>
                <w:rFonts w:ascii="Times New Roman" w:hAnsi="Times New Roman"/>
                <w:sz w:val="20"/>
              </w:rPr>
              <w:t>Jackson Hsieh</w:t>
            </w:r>
          </w:p>
        </w:tc>
        <w:tc>
          <w:tcPr>
            <w:tcW w:w="120" w:type="dxa"/>
            <w:tcBorders/>
            <w:vAlign w:val="bottom"/>
          </w:tcPr>
          <w:p>
            <w:pPr>
              <w:pStyle w:val="TableContents"/>
              <w:bidi w:val="0"/>
              <w:spacing w:before="0" w:after="283"/>
              <w:jc w:val="left"/>
              <w:rPr/>
            </w:pPr>
            <w:r>
              <w:rPr/>
              <w:t>  </w:t>
            </w:r>
          </w:p>
        </w:tc>
        <w:tc>
          <w:tcPr>
            <w:tcW w:w="3201" w:type="dxa"/>
            <w:tcBorders/>
          </w:tcPr>
          <w:p>
            <w:pPr>
              <w:pStyle w:val="TableContents"/>
              <w:bidi w:val="0"/>
              <w:spacing w:before="0" w:after="283"/>
              <w:jc w:val="left"/>
              <w:rPr/>
            </w:pPr>
            <w:r>
              <w:rPr/>
              <w:t xml:space="preserve">President, Chief Executive Officer and Director </w:t>
              <w:br/>
              <w:t>(Principal Executive Officer)</w:t>
            </w:r>
          </w:p>
        </w:tc>
        <w:tc>
          <w:tcPr>
            <w:tcW w:w="120" w:type="dxa"/>
            <w:tcBorders/>
            <w:vAlign w:val="bottom"/>
          </w:tcPr>
          <w:p>
            <w:pPr>
              <w:pStyle w:val="TableContents"/>
              <w:bidi w:val="0"/>
              <w:spacing w:before="0" w:after="283"/>
              <w:jc w:val="left"/>
              <w:rPr/>
            </w:pPr>
            <w:r>
              <w:rPr/>
              <w:t>  </w:t>
            </w:r>
          </w:p>
        </w:tc>
        <w:tc>
          <w:tcPr>
            <w:tcW w:w="3224" w:type="dxa"/>
            <w:tcBorders/>
          </w:tcPr>
          <w:p>
            <w:pPr>
              <w:pStyle w:val="TableContents"/>
              <w:bidi w:val="0"/>
              <w:spacing w:before="0" w:after="283"/>
              <w:jc w:val="center"/>
              <w:rPr/>
            </w:pPr>
            <w:r>
              <w:rPr/>
              <w:t>August 5, 2026</w:t>
            </w:r>
          </w:p>
        </w:tc>
      </w:tr>
      <w:tr>
        <w:trPr>
          <w:trHeight w:val="240" w:hRule="atLeast"/>
        </w:trPr>
        <w:tc>
          <w:tcPr>
            <w:tcW w:w="3540" w:type="dxa"/>
            <w:tcBorders/>
            <w:vAlign w:val="center"/>
          </w:tcPr>
          <w:p>
            <w:pPr>
              <w:pStyle w:val="TableContents"/>
              <w:bidi w:val="0"/>
              <w:spacing w:before="0" w:after="283"/>
              <w:jc w:val="left"/>
              <w:rPr>
                <w:sz w:val="4"/>
                <w:szCs w:val="4"/>
              </w:rPr>
            </w:pPr>
            <w:r>
              <w:rPr>
                <w:sz w:val="4"/>
                <w:szCs w:val="4"/>
              </w:rPr>
            </w:r>
          </w:p>
        </w:tc>
        <w:tc>
          <w:tcPr>
            <w:tcW w:w="3321" w:type="dxa"/>
            <w:gridSpan w:val="2"/>
            <w:tcBorders/>
            <w:vAlign w:val="center"/>
          </w:tcPr>
          <w:p>
            <w:pPr>
              <w:pStyle w:val="TableContents"/>
              <w:bidi w:val="0"/>
              <w:spacing w:before="0" w:after="283"/>
              <w:jc w:val="left"/>
              <w:rPr>
                <w:sz w:val="4"/>
                <w:szCs w:val="4"/>
              </w:rPr>
            </w:pPr>
            <w:r>
              <w:rPr>
                <w:sz w:val="4"/>
                <w:szCs w:val="4"/>
              </w:rPr>
            </w:r>
          </w:p>
        </w:tc>
        <w:tc>
          <w:tcPr>
            <w:tcW w:w="3344" w:type="dxa"/>
            <w:gridSpan w:val="2"/>
            <w:tcBorders/>
            <w:vAlign w:val="center"/>
          </w:tcPr>
          <w:p>
            <w:pPr>
              <w:pStyle w:val="TableContents"/>
              <w:bidi w:val="0"/>
              <w:spacing w:before="0" w:after="283"/>
              <w:jc w:val="left"/>
              <w:rPr>
                <w:sz w:val="4"/>
                <w:szCs w:val="4"/>
              </w:rPr>
            </w:pPr>
            <w:r>
              <w:rPr>
                <w:sz w:val="4"/>
                <w:szCs w:val="4"/>
              </w:rPr>
            </w:r>
          </w:p>
        </w:tc>
      </w:tr>
      <w:tr>
        <w:trPr/>
        <w:tc>
          <w:tcPr>
            <w:tcW w:w="354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STEVEN R. HASH</w:t>
            </w:r>
          </w:p>
          <w:p>
            <w:pPr>
              <w:pStyle w:val="TableContents"/>
              <w:bidi w:val="0"/>
              <w:spacing w:before="0" w:after="20"/>
              <w:jc w:val="center"/>
              <w:rPr>
                <w:rFonts w:ascii="Times New Roman" w:hAnsi="Times New Roman"/>
                <w:sz w:val="20"/>
              </w:rPr>
            </w:pPr>
            <w:r>
              <w:rPr>
                <w:rFonts w:ascii="Times New Roman" w:hAnsi="Times New Roman"/>
                <w:sz w:val="20"/>
              </w:rPr>
              <w:t>Steven R. Hash</w:t>
            </w:r>
          </w:p>
        </w:tc>
        <w:tc>
          <w:tcPr>
            <w:tcW w:w="120" w:type="dxa"/>
            <w:tcBorders/>
            <w:vAlign w:val="bottom"/>
          </w:tcPr>
          <w:p>
            <w:pPr>
              <w:pStyle w:val="TableContents"/>
              <w:bidi w:val="0"/>
              <w:spacing w:before="0" w:after="283"/>
              <w:jc w:val="left"/>
              <w:rPr/>
            </w:pPr>
            <w:r>
              <w:rPr/>
              <w:t>  </w:t>
            </w:r>
          </w:p>
        </w:tc>
        <w:tc>
          <w:tcPr>
            <w:tcW w:w="3201" w:type="dxa"/>
            <w:tcBorders/>
          </w:tcPr>
          <w:p>
            <w:pPr>
              <w:pStyle w:val="TableContents"/>
              <w:bidi w:val="0"/>
              <w:spacing w:before="0" w:after="283"/>
              <w:jc w:val="left"/>
              <w:rPr/>
            </w:pPr>
            <w:r>
              <w:rPr/>
              <w:t>Chairman of Board of Directors</w:t>
            </w:r>
          </w:p>
        </w:tc>
        <w:tc>
          <w:tcPr>
            <w:tcW w:w="120" w:type="dxa"/>
            <w:tcBorders/>
            <w:vAlign w:val="bottom"/>
          </w:tcPr>
          <w:p>
            <w:pPr>
              <w:pStyle w:val="TableContents"/>
              <w:bidi w:val="0"/>
              <w:spacing w:before="0" w:after="283"/>
              <w:jc w:val="left"/>
              <w:rPr/>
            </w:pPr>
            <w:r>
              <w:rPr/>
              <w:t>  </w:t>
            </w:r>
          </w:p>
        </w:tc>
        <w:tc>
          <w:tcPr>
            <w:tcW w:w="3224" w:type="dxa"/>
            <w:tcBorders/>
          </w:tcPr>
          <w:p>
            <w:pPr>
              <w:pStyle w:val="TableContents"/>
              <w:bidi w:val="0"/>
              <w:spacing w:before="0" w:after="283"/>
              <w:jc w:val="center"/>
              <w:rPr/>
            </w:pPr>
            <w:r>
              <w:rPr/>
              <w:t>August 5, 2026</w:t>
            </w:r>
          </w:p>
        </w:tc>
      </w:tr>
      <w:tr>
        <w:trPr>
          <w:trHeight w:val="240" w:hRule="atLeast"/>
        </w:trPr>
        <w:tc>
          <w:tcPr>
            <w:tcW w:w="3540" w:type="dxa"/>
            <w:tcBorders/>
            <w:vAlign w:val="center"/>
          </w:tcPr>
          <w:p>
            <w:pPr>
              <w:pStyle w:val="TableContents"/>
              <w:bidi w:val="0"/>
              <w:spacing w:before="0" w:after="283"/>
              <w:jc w:val="left"/>
              <w:rPr>
                <w:sz w:val="4"/>
                <w:szCs w:val="4"/>
              </w:rPr>
            </w:pPr>
            <w:r>
              <w:rPr>
                <w:sz w:val="4"/>
                <w:szCs w:val="4"/>
              </w:rPr>
            </w:r>
          </w:p>
        </w:tc>
        <w:tc>
          <w:tcPr>
            <w:tcW w:w="3321" w:type="dxa"/>
            <w:gridSpan w:val="2"/>
            <w:tcBorders/>
            <w:vAlign w:val="center"/>
          </w:tcPr>
          <w:p>
            <w:pPr>
              <w:pStyle w:val="TableContents"/>
              <w:bidi w:val="0"/>
              <w:spacing w:before="0" w:after="283"/>
              <w:jc w:val="left"/>
              <w:rPr>
                <w:sz w:val="4"/>
                <w:szCs w:val="4"/>
              </w:rPr>
            </w:pPr>
            <w:r>
              <w:rPr>
                <w:sz w:val="4"/>
                <w:szCs w:val="4"/>
              </w:rPr>
            </w:r>
          </w:p>
        </w:tc>
        <w:tc>
          <w:tcPr>
            <w:tcW w:w="3344" w:type="dxa"/>
            <w:gridSpan w:val="2"/>
            <w:tcBorders/>
            <w:vAlign w:val="center"/>
          </w:tcPr>
          <w:p>
            <w:pPr>
              <w:pStyle w:val="TableContents"/>
              <w:bidi w:val="0"/>
              <w:spacing w:before="0" w:after="283"/>
              <w:jc w:val="left"/>
              <w:rPr>
                <w:sz w:val="4"/>
                <w:szCs w:val="4"/>
              </w:rPr>
            </w:pPr>
            <w:r>
              <w:rPr>
                <w:sz w:val="4"/>
                <w:szCs w:val="4"/>
              </w:rPr>
            </w:r>
          </w:p>
        </w:tc>
      </w:tr>
      <w:tr>
        <w:trPr/>
        <w:tc>
          <w:tcPr>
            <w:tcW w:w="354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ENRIQUE HERNANDEZ, JR.</w:t>
            </w:r>
          </w:p>
          <w:p>
            <w:pPr>
              <w:pStyle w:val="TableContents"/>
              <w:bidi w:val="0"/>
              <w:spacing w:before="0" w:after="20"/>
              <w:jc w:val="center"/>
              <w:rPr>
                <w:rFonts w:ascii="Times New Roman" w:hAnsi="Times New Roman"/>
                <w:sz w:val="20"/>
              </w:rPr>
            </w:pPr>
            <w:r>
              <w:rPr>
                <w:rFonts w:ascii="Times New Roman" w:hAnsi="Times New Roman"/>
                <w:sz w:val="20"/>
              </w:rPr>
              <w:t>Enrique Hernandez, Jr.</w:t>
            </w:r>
          </w:p>
        </w:tc>
        <w:tc>
          <w:tcPr>
            <w:tcW w:w="120" w:type="dxa"/>
            <w:tcBorders/>
            <w:vAlign w:val="bottom"/>
          </w:tcPr>
          <w:p>
            <w:pPr>
              <w:pStyle w:val="TableContents"/>
              <w:bidi w:val="0"/>
              <w:spacing w:before="0" w:after="283"/>
              <w:jc w:val="left"/>
              <w:rPr/>
            </w:pPr>
            <w:r>
              <w:rPr/>
              <w:t>  </w:t>
            </w:r>
          </w:p>
        </w:tc>
        <w:tc>
          <w:tcPr>
            <w:tcW w:w="3201" w:type="dxa"/>
            <w:tcBorders/>
          </w:tcPr>
          <w:p>
            <w:pPr>
              <w:pStyle w:val="TableContents"/>
              <w:bidi w:val="0"/>
              <w:spacing w:before="0" w:after="283"/>
              <w:jc w:val="left"/>
              <w:rPr/>
            </w:pPr>
            <w:r>
              <w:rPr/>
              <w:t>Director</w:t>
            </w:r>
          </w:p>
        </w:tc>
        <w:tc>
          <w:tcPr>
            <w:tcW w:w="120" w:type="dxa"/>
            <w:tcBorders/>
            <w:vAlign w:val="bottom"/>
          </w:tcPr>
          <w:p>
            <w:pPr>
              <w:pStyle w:val="TableContents"/>
              <w:bidi w:val="0"/>
              <w:spacing w:before="0" w:after="283"/>
              <w:jc w:val="left"/>
              <w:rPr/>
            </w:pPr>
            <w:r>
              <w:rPr/>
              <w:t>  </w:t>
            </w:r>
          </w:p>
        </w:tc>
        <w:tc>
          <w:tcPr>
            <w:tcW w:w="3224" w:type="dxa"/>
            <w:tcBorders/>
          </w:tcPr>
          <w:p>
            <w:pPr>
              <w:pStyle w:val="TableContents"/>
              <w:bidi w:val="0"/>
              <w:spacing w:before="0" w:after="283"/>
              <w:jc w:val="center"/>
              <w:rPr/>
            </w:pPr>
            <w:r>
              <w:rPr/>
              <w:t>August 5, 2026</w:t>
            </w:r>
          </w:p>
        </w:tc>
      </w:tr>
      <w:tr>
        <w:trPr>
          <w:trHeight w:val="240" w:hRule="atLeast"/>
        </w:trPr>
        <w:tc>
          <w:tcPr>
            <w:tcW w:w="3540" w:type="dxa"/>
            <w:tcBorders/>
            <w:vAlign w:val="center"/>
          </w:tcPr>
          <w:p>
            <w:pPr>
              <w:pStyle w:val="TableContents"/>
              <w:bidi w:val="0"/>
              <w:spacing w:before="0" w:after="283"/>
              <w:jc w:val="left"/>
              <w:rPr>
                <w:sz w:val="4"/>
                <w:szCs w:val="4"/>
              </w:rPr>
            </w:pPr>
            <w:r>
              <w:rPr>
                <w:sz w:val="4"/>
                <w:szCs w:val="4"/>
              </w:rPr>
            </w:r>
          </w:p>
        </w:tc>
        <w:tc>
          <w:tcPr>
            <w:tcW w:w="3321" w:type="dxa"/>
            <w:gridSpan w:val="2"/>
            <w:tcBorders/>
            <w:vAlign w:val="center"/>
          </w:tcPr>
          <w:p>
            <w:pPr>
              <w:pStyle w:val="TableContents"/>
              <w:bidi w:val="0"/>
              <w:spacing w:before="0" w:after="283"/>
              <w:jc w:val="left"/>
              <w:rPr>
                <w:sz w:val="4"/>
                <w:szCs w:val="4"/>
              </w:rPr>
            </w:pPr>
            <w:r>
              <w:rPr>
                <w:sz w:val="4"/>
                <w:szCs w:val="4"/>
              </w:rPr>
            </w:r>
          </w:p>
        </w:tc>
        <w:tc>
          <w:tcPr>
            <w:tcW w:w="3344" w:type="dxa"/>
            <w:gridSpan w:val="2"/>
            <w:tcBorders/>
            <w:vAlign w:val="center"/>
          </w:tcPr>
          <w:p>
            <w:pPr>
              <w:pStyle w:val="TableContents"/>
              <w:bidi w:val="0"/>
              <w:spacing w:before="0" w:after="283"/>
              <w:jc w:val="left"/>
              <w:rPr>
                <w:sz w:val="4"/>
                <w:szCs w:val="4"/>
              </w:rPr>
            </w:pPr>
            <w:r>
              <w:rPr>
                <w:sz w:val="4"/>
                <w:szCs w:val="4"/>
              </w:rPr>
            </w:r>
          </w:p>
        </w:tc>
      </w:tr>
      <w:tr>
        <w:trPr/>
        <w:tc>
          <w:tcPr>
            <w:tcW w:w="354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DANIEL J. HIRSCH</w:t>
            </w:r>
          </w:p>
          <w:p>
            <w:pPr>
              <w:pStyle w:val="TableContents"/>
              <w:bidi w:val="0"/>
              <w:spacing w:before="0" w:after="20"/>
              <w:jc w:val="center"/>
              <w:rPr>
                <w:rFonts w:ascii="Times New Roman" w:hAnsi="Times New Roman"/>
                <w:sz w:val="20"/>
              </w:rPr>
            </w:pPr>
            <w:r>
              <w:rPr>
                <w:rFonts w:ascii="Times New Roman" w:hAnsi="Times New Roman"/>
                <w:sz w:val="20"/>
              </w:rPr>
              <w:t>Daniel J. Hirsch</w:t>
            </w:r>
          </w:p>
        </w:tc>
        <w:tc>
          <w:tcPr>
            <w:tcW w:w="120" w:type="dxa"/>
            <w:tcBorders/>
            <w:vAlign w:val="bottom"/>
          </w:tcPr>
          <w:p>
            <w:pPr>
              <w:pStyle w:val="TableContents"/>
              <w:bidi w:val="0"/>
              <w:spacing w:before="0" w:after="283"/>
              <w:jc w:val="left"/>
              <w:rPr/>
            </w:pPr>
            <w:r>
              <w:rPr/>
              <w:t>  </w:t>
            </w:r>
          </w:p>
        </w:tc>
        <w:tc>
          <w:tcPr>
            <w:tcW w:w="3201" w:type="dxa"/>
            <w:tcBorders/>
          </w:tcPr>
          <w:p>
            <w:pPr>
              <w:pStyle w:val="TableContents"/>
              <w:bidi w:val="0"/>
              <w:spacing w:before="0" w:after="283"/>
              <w:jc w:val="left"/>
              <w:rPr/>
            </w:pPr>
            <w:r>
              <w:rPr/>
              <w:t>Director</w:t>
            </w:r>
          </w:p>
        </w:tc>
        <w:tc>
          <w:tcPr>
            <w:tcW w:w="120" w:type="dxa"/>
            <w:tcBorders/>
            <w:vAlign w:val="bottom"/>
          </w:tcPr>
          <w:p>
            <w:pPr>
              <w:pStyle w:val="TableContents"/>
              <w:bidi w:val="0"/>
              <w:spacing w:before="0" w:after="283"/>
              <w:jc w:val="left"/>
              <w:rPr/>
            </w:pPr>
            <w:r>
              <w:rPr/>
              <w:t>  </w:t>
            </w:r>
          </w:p>
        </w:tc>
        <w:tc>
          <w:tcPr>
            <w:tcW w:w="3224" w:type="dxa"/>
            <w:tcBorders/>
          </w:tcPr>
          <w:p>
            <w:pPr>
              <w:pStyle w:val="TableContents"/>
              <w:bidi w:val="0"/>
              <w:spacing w:before="0" w:after="283"/>
              <w:jc w:val="center"/>
              <w:rPr/>
            </w:pPr>
            <w:r>
              <w:rPr/>
              <w:t>August 5, 2026</w:t>
            </w:r>
          </w:p>
        </w:tc>
      </w:tr>
      <w:tr>
        <w:trPr>
          <w:trHeight w:val="240" w:hRule="atLeast"/>
        </w:trPr>
        <w:tc>
          <w:tcPr>
            <w:tcW w:w="3540" w:type="dxa"/>
            <w:tcBorders/>
            <w:vAlign w:val="center"/>
          </w:tcPr>
          <w:p>
            <w:pPr>
              <w:pStyle w:val="TableContents"/>
              <w:bidi w:val="0"/>
              <w:spacing w:before="0" w:after="283"/>
              <w:jc w:val="left"/>
              <w:rPr>
                <w:sz w:val="4"/>
                <w:szCs w:val="4"/>
              </w:rPr>
            </w:pPr>
            <w:r>
              <w:rPr>
                <w:sz w:val="4"/>
                <w:szCs w:val="4"/>
              </w:rPr>
            </w:r>
          </w:p>
        </w:tc>
        <w:tc>
          <w:tcPr>
            <w:tcW w:w="3321" w:type="dxa"/>
            <w:gridSpan w:val="2"/>
            <w:tcBorders/>
            <w:vAlign w:val="center"/>
          </w:tcPr>
          <w:p>
            <w:pPr>
              <w:pStyle w:val="TableContents"/>
              <w:bidi w:val="0"/>
              <w:spacing w:before="0" w:after="283"/>
              <w:jc w:val="left"/>
              <w:rPr>
                <w:sz w:val="4"/>
                <w:szCs w:val="4"/>
              </w:rPr>
            </w:pPr>
            <w:r>
              <w:rPr>
                <w:sz w:val="4"/>
                <w:szCs w:val="4"/>
              </w:rPr>
            </w:r>
          </w:p>
        </w:tc>
        <w:tc>
          <w:tcPr>
            <w:tcW w:w="3344" w:type="dxa"/>
            <w:gridSpan w:val="2"/>
            <w:tcBorders/>
            <w:vAlign w:val="center"/>
          </w:tcPr>
          <w:p>
            <w:pPr>
              <w:pStyle w:val="TableContents"/>
              <w:bidi w:val="0"/>
              <w:spacing w:before="0" w:after="283"/>
              <w:jc w:val="left"/>
              <w:rPr>
                <w:sz w:val="4"/>
                <w:szCs w:val="4"/>
              </w:rPr>
            </w:pPr>
            <w:r>
              <w:rPr>
                <w:sz w:val="4"/>
                <w:szCs w:val="4"/>
              </w:rPr>
            </w:r>
          </w:p>
        </w:tc>
      </w:tr>
      <w:tr>
        <w:trPr/>
        <w:tc>
          <w:tcPr>
            <w:tcW w:w="354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DIANA M. LAING</w:t>
            </w:r>
          </w:p>
          <w:p>
            <w:pPr>
              <w:pStyle w:val="TableContents"/>
              <w:bidi w:val="0"/>
              <w:spacing w:before="0" w:after="20"/>
              <w:jc w:val="center"/>
              <w:rPr>
                <w:rFonts w:ascii="Times New Roman" w:hAnsi="Times New Roman"/>
                <w:sz w:val="20"/>
              </w:rPr>
            </w:pPr>
            <w:r>
              <w:rPr>
                <w:rFonts w:ascii="Times New Roman" w:hAnsi="Times New Roman"/>
                <w:sz w:val="20"/>
              </w:rPr>
              <w:t>Diana M. Laing</w:t>
            </w:r>
          </w:p>
        </w:tc>
        <w:tc>
          <w:tcPr>
            <w:tcW w:w="120" w:type="dxa"/>
            <w:tcBorders/>
            <w:vAlign w:val="bottom"/>
          </w:tcPr>
          <w:p>
            <w:pPr>
              <w:pStyle w:val="TableContents"/>
              <w:bidi w:val="0"/>
              <w:spacing w:before="0" w:after="283"/>
              <w:jc w:val="left"/>
              <w:rPr/>
            </w:pPr>
            <w:r>
              <w:rPr/>
              <w:t>  </w:t>
            </w:r>
          </w:p>
        </w:tc>
        <w:tc>
          <w:tcPr>
            <w:tcW w:w="3201" w:type="dxa"/>
            <w:tcBorders/>
          </w:tcPr>
          <w:p>
            <w:pPr>
              <w:pStyle w:val="TableContents"/>
              <w:bidi w:val="0"/>
              <w:spacing w:before="0" w:after="283"/>
              <w:jc w:val="left"/>
              <w:rPr/>
            </w:pPr>
            <w:r>
              <w:rPr/>
              <w:t>Director</w:t>
            </w:r>
          </w:p>
        </w:tc>
        <w:tc>
          <w:tcPr>
            <w:tcW w:w="120" w:type="dxa"/>
            <w:tcBorders/>
            <w:vAlign w:val="bottom"/>
          </w:tcPr>
          <w:p>
            <w:pPr>
              <w:pStyle w:val="TableContents"/>
              <w:bidi w:val="0"/>
              <w:spacing w:before="0" w:after="283"/>
              <w:jc w:val="left"/>
              <w:rPr/>
            </w:pPr>
            <w:r>
              <w:rPr/>
              <w:t>  </w:t>
            </w:r>
          </w:p>
        </w:tc>
        <w:tc>
          <w:tcPr>
            <w:tcW w:w="3224" w:type="dxa"/>
            <w:tcBorders/>
          </w:tcPr>
          <w:p>
            <w:pPr>
              <w:pStyle w:val="TableContents"/>
              <w:bidi w:val="0"/>
              <w:spacing w:before="0" w:after="283"/>
              <w:jc w:val="center"/>
              <w:rPr/>
            </w:pPr>
            <w:r>
              <w:rPr/>
              <w:t>August 5, 2026</w:t>
            </w:r>
          </w:p>
        </w:tc>
      </w:tr>
      <w:tr>
        <w:trPr>
          <w:trHeight w:val="240" w:hRule="atLeast"/>
        </w:trPr>
        <w:tc>
          <w:tcPr>
            <w:tcW w:w="3540" w:type="dxa"/>
            <w:tcBorders/>
            <w:vAlign w:val="center"/>
          </w:tcPr>
          <w:p>
            <w:pPr>
              <w:pStyle w:val="TableContents"/>
              <w:bidi w:val="0"/>
              <w:spacing w:before="0" w:after="283"/>
              <w:jc w:val="left"/>
              <w:rPr>
                <w:sz w:val="4"/>
                <w:szCs w:val="4"/>
              </w:rPr>
            </w:pPr>
            <w:r>
              <w:rPr>
                <w:sz w:val="4"/>
                <w:szCs w:val="4"/>
              </w:rPr>
            </w:r>
          </w:p>
        </w:tc>
        <w:tc>
          <w:tcPr>
            <w:tcW w:w="3321" w:type="dxa"/>
            <w:gridSpan w:val="2"/>
            <w:tcBorders/>
            <w:vAlign w:val="center"/>
          </w:tcPr>
          <w:p>
            <w:pPr>
              <w:pStyle w:val="TableContents"/>
              <w:bidi w:val="0"/>
              <w:spacing w:before="0" w:after="283"/>
              <w:jc w:val="left"/>
              <w:rPr>
                <w:sz w:val="4"/>
                <w:szCs w:val="4"/>
              </w:rPr>
            </w:pPr>
            <w:r>
              <w:rPr>
                <w:sz w:val="4"/>
                <w:szCs w:val="4"/>
              </w:rPr>
            </w:r>
          </w:p>
        </w:tc>
        <w:tc>
          <w:tcPr>
            <w:tcW w:w="3344" w:type="dxa"/>
            <w:gridSpan w:val="2"/>
            <w:tcBorders/>
            <w:vAlign w:val="center"/>
          </w:tcPr>
          <w:p>
            <w:pPr>
              <w:pStyle w:val="TableContents"/>
              <w:bidi w:val="0"/>
              <w:spacing w:before="0" w:after="283"/>
              <w:jc w:val="left"/>
              <w:rPr>
                <w:sz w:val="4"/>
                <w:szCs w:val="4"/>
              </w:rPr>
            </w:pPr>
            <w:r>
              <w:rPr>
                <w:sz w:val="4"/>
                <w:szCs w:val="4"/>
              </w:rPr>
            </w:r>
          </w:p>
        </w:tc>
      </w:tr>
      <w:tr>
        <w:trPr/>
        <w:tc>
          <w:tcPr>
            <w:tcW w:w="354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MARIANNE LOWENTHAL</w:t>
            </w:r>
          </w:p>
          <w:p>
            <w:pPr>
              <w:pStyle w:val="TableContents"/>
              <w:bidi w:val="0"/>
              <w:spacing w:before="0" w:after="20"/>
              <w:jc w:val="center"/>
              <w:rPr>
                <w:rFonts w:ascii="Times New Roman" w:hAnsi="Times New Roman"/>
                <w:sz w:val="20"/>
              </w:rPr>
            </w:pPr>
            <w:r>
              <w:rPr>
                <w:rFonts w:ascii="Times New Roman" w:hAnsi="Times New Roman"/>
                <w:sz w:val="20"/>
              </w:rPr>
              <w:t>Marianne Lowenthal</w:t>
            </w:r>
          </w:p>
        </w:tc>
        <w:tc>
          <w:tcPr>
            <w:tcW w:w="120" w:type="dxa"/>
            <w:tcBorders/>
            <w:vAlign w:val="bottom"/>
          </w:tcPr>
          <w:p>
            <w:pPr>
              <w:pStyle w:val="TableContents"/>
              <w:bidi w:val="0"/>
              <w:spacing w:before="0" w:after="283"/>
              <w:jc w:val="left"/>
              <w:rPr/>
            </w:pPr>
            <w:r>
              <w:rPr/>
              <w:t>  </w:t>
            </w:r>
          </w:p>
        </w:tc>
        <w:tc>
          <w:tcPr>
            <w:tcW w:w="3201" w:type="dxa"/>
            <w:tcBorders/>
          </w:tcPr>
          <w:p>
            <w:pPr>
              <w:pStyle w:val="TableContents"/>
              <w:bidi w:val="0"/>
              <w:spacing w:before="0" w:after="283"/>
              <w:jc w:val="left"/>
              <w:rPr/>
            </w:pPr>
            <w:r>
              <w:rPr/>
              <w:t>Director</w:t>
            </w:r>
          </w:p>
        </w:tc>
        <w:tc>
          <w:tcPr>
            <w:tcW w:w="120" w:type="dxa"/>
            <w:tcBorders/>
            <w:vAlign w:val="bottom"/>
          </w:tcPr>
          <w:p>
            <w:pPr>
              <w:pStyle w:val="TableContents"/>
              <w:bidi w:val="0"/>
              <w:spacing w:before="0" w:after="283"/>
              <w:jc w:val="left"/>
              <w:rPr/>
            </w:pPr>
            <w:r>
              <w:rPr/>
              <w:t>  </w:t>
            </w:r>
          </w:p>
        </w:tc>
        <w:tc>
          <w:tcPr>
            <w:tcW w:w="3224" w:type="dxa"/>
            <w:tcBorders/>
          </w:tcPr>
          <w:p>
            <w:pPr>
              <w:pStyle w:val="TableContents"/>
              <w:bidi w:val="0"/>
              <w:spacing w:before="0" w:after="283"/>
              <w:jc w:val="center"/>
              <w:rPr/>
            </w:pPr>
            <w:r>
              <w:rPr/>
              <w:t>August 5, 2026</w:t>
            </w:r>
          </w:p>
        </w:tc>
      </w:tr>
      <w:tr>
        <w:trPr>
          <w:trHeight w:val="240" w:hRule="atLeast"/>
        </w:trPr>
        <w:tc>
          <w:tcPr>
            <w:tcW w:w="3540" w:type="dxa"/>
            <w:tcBorders/>
            <w:vAlign w:val="center"/>
          </w:tcPr>
          <w:p>
            <w:pPr>
              <w:pStyle w:val="TableContents"/>
              <w:bidi w:val="0"/>
              <w:spacing w:before="0" w:after="283"/>
              <w:jc w:val="left"/>
              <w:rPr>
                <w:sz w:val="4"/>
                <w:szCs w:val="4"/>
              </w:rPr>
            </w:pPr>
            <w:r>
              <w:rPr>
                <w:sz w:val="4"/>
                <w:szCs w:val="4"/>
              </w:rPr>
            </w:r>
          </w:p>
        </w:tc>
        <w:tc>
          <w:tcPr>
            <w:tcW w:w="3321" w:type="dxa"/>
            <w:gridSpan w:val="2"/>
            <w:tcBorders/>
            <w:vAlign w:val="center"/>
          </w:tcPr>
          <w:p>
            <w:pPr>
              <w:pStyle w:val="TableContents"/>
              <w:bidi w:val="0"/>
              <w:spacing w:before="0" w:after="283"/>
              <w:jc w:val="left"/>
              <w:rPr>
                <w:sz w:val="4"/>
                <w:szCs w:val="4"/>
              </w:rPr>
            </w:pPr>
            <w:r>
              <w:rPr>
                <w:sz w:val="4"/>
                <w:szCs w:val="4"/>
              </w:rPr>
            </w:r>
          </w:p>
        </w:tc>
        <w:tc>
          <w:tcPr>
            <w:tcW w:w="3344" w:type="dxa"/>
            <w:gridSpan w:val="2"/>
            <w:tcBorders/>
            <w:vAlign w:val="center"/>
          </w:tcPr>
          <w:p>
            <w:pPr>
              <w:pStyle w:val="TableContents"/>
              <w:bidi w:val="0"/>
              <w:spacing w:before="0" w:after="283"/>
              <w:jc w:val="left"/>
              <w:rPr>
                <w:sz w:val="4"/>
                <w:szCs w:val="4"/>
              </w:rPr>
            </w:pPr>
            <w:r>
              <w:rPr>
                <w:sz w:val="4"/>
                <w:szCs w:val="4"/>
              </w:rPr>
            </w:r>
          </w:p>
        </w:tc>
      </w:tr>
      <w:tr>
        <w:trPr/>
        <w:tc>
          <w:tcPr>
            <w:tcW w:w="354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DEVIN I. MURPHY</w:t>
            </w:r>
          </w:p>
          <w:p>
            <w:pPr>
              <w:pStyle w:val="TableContents"/>
              <w:bidi w:val="0"/>
              <w:spacing w:before="0" w:after="20"/>
              <w:jc w:val="center"/>
              <w:rPr>
                <w:rFonts w:ascii="Times New Roman" w:hAnsi="Times New Roman"/>
                <w:sz w:val="20"/>
              </w:rPr>
            </w:pPr>
            <w:r>
              <w:rPr>
                <w:rFonts w:ascii="Times New Roman" w:hAnsi="Times New Roman"/>
                <w:sz w:val="20"/>
              </w:rPr>
              <w:t>Devin I. Murphy</w:t>
            </w:r>
          </w:p>
        </w:tc>
        <w:tc>
          <w:tcPr>
            <w:tcW w:w="120" w:type="dxa"/>
            <w:tcBorders/>
            <w:vAlign w:val="bottom"/>
          </w:tcPr>
          <w:p>
            <w:pPr>
              <w:pStyle w:val="TableContents"/>
              <w:bidi w:val="0"/>
              <w:spacing w:before="0" w:after="283"/>
              <w:jc w:val="left"/>
              <w:rPr/>
            </w:pPr>
            <w:r>
              <w:rPr/>
              <w:t>  </w:t>
            </w:r>
          </w:p>
        </w:tc>
        <w:tc>
          <w:tcPr>
            <w:tcW w:w="3201" w:type="dxa"/>
            <w:tcBorders/>
          </w:tcPr>
          <w:p>
            <w:pPr>
              <w:pStyle w:val="TableContents"/>
              <w:bidi w:val="0"/>
              <w:spacing w:before="0" w:after="283"/>
              <w:jc w:val="left"/>
              <w:rPr/>
            </w:pPr>
            <w:r>
              <w:rPr/>
              <w:t>Director</w:t>
            </w:r>
          </w:p>
        </w:tc>
        <w:tc>
          <w:tcPr>
            <w:tcW w:w="120" w:type="dxa"/>
            <w:tcBorders/>
            <w:vAlign w:val="bottom"/>
          </w:tcPr>
          <w:p>
            <w:pPr>
              <w:pStyle w:val="TableContents"/>
              <w:bidi w:val="0"/>
              <w:spacing w:before="0" w:after="283"/>
              <w:jc w:val="left"/>
              <w:rPr/>
            </w:pPr>
            <w:r>
              <w:rPr/>
              <w:t>  </w:t>
            </w:r>
          </w:p>
        </w:tc>
        <w:tc>
          <w:tcPr>
            <w:tcW w:w="3224" w:type="dxa"/>
            <w:tcBorders/>
          </w:tcPr>
          <w:p>
            <w:pPr>
              <w:pStyle w:val="TableContents"/>
              <w:bidi w:val="0"/>
              <w:spacing w:before="0" w:after="283"/>
              <w:jc w:val="center"/>
              <w:rPr/>
            </w:pPr>
            <w:r>
              <w:rPr/>
              <w:t>August 5, 2026</w:t>
            </w:r>
          </w:p>
        </w:tc>
      </w:tr>
      <w:tr>
        <w:trPr>
          <w:trHeight w:val="240" w:hRule="atLeast"/>
        </w:trPr>
        <w:tc>
          <w:tcPr>
            <w:tcW w:w="3540" w:type="dxa"/>
            <w:tcBorders/>
            <w:vAlign w:val="center"/>
          </w:tcPr>
          <w:p>
            <w:pPr>
              <w:pStyle w:val="TableContents"/>
              <w:bidi w:val="0"/>
              <w:spacing w:before="0" w:after="283"/>
              <w:jc w:val="left"/>
              <w:rPr>
                <w:sz w:val="4"/>
                <w:szCs w:val="4"/>
              </w:rPr>
            </w:pPr>
            <w:r>
              <w:rPr>
                <w:sz w:val="4"/>
                <w:szCs w:val="4"/>
              </w:rPr>
            </w:r>
          </w:p>
        </w:tc>
        <w:tc>
          <w:tcPr>
            <w:tcW w:w="3321" w:type="dxa"/>
            <w:gridSpan w:val="2"/>
            <w:tcBorders/>
            <w:vAlign w:val="center"/>
          </w:tcPr>
          <w:p>
            <w:pPr>
              <w:pStyle w:val="TableContents"/>
              <w:bidi w:val="0"/>
              <w:spacing w:before="0" w:after="283"/>
              <w:jc w:val="left"/>
              <w:rPr>
                <w:sz w:val="4"/>
                <w:szCs w:val="4"/>
              </w:rPr>
            </w:pPr>
            <w:r>
              <w:rPr>
                <w:sz w:val="4"/>
                <w:szCs w:val="4"/>
              </w:rPr>
            </w:r>
          </w:p>
        </w:tc>
        <w:tc>
          <w:tcPr>
            <w:tcW w:w="3344" w:type="dxa"/>
            <w:gridSpan w:val="2"/>
            <w:tcBorders/>
            <w:vAlign w:val="center"/>
          </w:tcPr>
          <w:p>
            <w:pPr>
              <w:pStyle w:val="TableContents"/>
              <w:bidi w:val="0"/>
              <w:spacing w:before="0" w:after="283"/>
              <w:jc w:val="left"/>
              <w:rPr>
                <w:sz w:val="4"/>
                <w:szCs w:val="4"/>
              </w:rPr>
            </w:pPr>
            <w:r>
              <w:rPr>
                <w:sz w:val="4"/>
                <w:szCs w:val="4"/>
              </w:rPr>
            </w:r>
          </w:p>
        </w:tc>
      </w:tr>
      <w:tr>
        <w:trPr/>
        <w:tc>
          <w:tcPr>
            <w:tcW w:w="354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ANDREA M. STEPHEN</w:t>
            </w:r>
          </w:p>
          <w:p>
            <w:pPr>
              <w:pStyle w:val="TableContents"/>
              <w:bidi w:val="0"/>
              <w:spacing w:before="0" w:after="20"/>
              <w:jc w:val="center"/>
              <w:rPr>
                <w:rFonts w:ascii="Times New Roman" w:hAnsi="Times New Roman"/>
                <w:sz w:val="20"/>
              </w:rPr>
            </w:pPr>
            <w:r>
              <w:rPr>
                <w:rFonts w:ascii="Times New Roman" w:hAnsi="Times New Roman"/>
                <w:sz w:val="20"/>
              </w:rPr>
              <w:t>Andrea M. Stephen</w:t>
            </w:r>
          </w:p>
        </w:tc>
        <w:tc>
          <w:tcPr>
            <w:tcW w:w="120" w:type="dxa"/>
            <w:tcBorders/>
            <w:vAlign w:val="bottom"/>
          </w:tcPr>
          <w:p>
            <w:pPr>
              <w:pStyle w:val="TableContents"/>
              <w:bidi w:val="0"/>
              <w:spacing w:before="0" w:after="283"/>
              <w:jc w:val="left"/>
              <w:rPr/>
            </w:pPr>
            <w:r>
              <w:rPr/>
              <w:t>  </w:t>
            </w:r>
          </w:p>
        </w:tc>
        <w:tc>
          <w:tcPr>
            <w:tcW w:w="3201" w:type="dxa"/>
            <w:tcBorders/>
          </w:tcPr>
          <w:p>
            <w:pPr>
              <w:pStyle w:val="TableContents"/>
              <w:bidi w:val="0"/>
              <w:spacing w:before="0" w:after="283"/>
              <w:jc w:val="left"/>
              <w:rPr/>
            </w:pPr>
            <w:r>
              <w:rPr/>
              <w:t>Director</w:t>
            </w:r>
          </w:p>
        </w:tc>
        <w:tc>
          <w:tcPr>
            <w:tcW w:w="120" w:type="dxa"/>
            <w:tcBorders/>
            <w:vAlign w:val="bottom"/>
          </w:tcPr>
          <w:p>
            <w:pPr>
              <w:pStyle w:val="TableContents"/>
              <w:bidi w:val="0"/>
              <w:spacing w:before="0" w:after="283"/>
              <w:jc w:val="left"/>
              <w:rPr/>
            </w:pPr>
            <w:r>
              <w:rPr/>
              <w:t>  </w:t>
            </w:r>
          </w:p>
        </w:tc>
        <w:tc>
          <w:tcPr>
            <w:tcW w:w="3224" w:type="dxa"/>
            <w:tcBorders/>
          </w:tcPr>
          <w:p>
            <w:pPr>
              <w:pStyle w:val="TableContents"/>
              <w:bidi w:val="0"/>
              <w:spacing w:before="0" w:after="283"/>
              <w:jc w:val="center"/>
              <w:rPr/>
            </w:pPr>
            <w:r>
              <w:rPr/>
              <w:t>August 5, 2026</w:t>
            </w:r>
          </w:p>
        </w:tc>
      </w:tr>
      <w:tr>
        <w:trPr>
          <w:trHeight w:val="240" w:hRule="atLeast"/>
        </w:trPr>
        <w:tc>
          <w:tcPr>
            <w:tcW w:w="3540" w:type="dxa"/>
            <w:tcBorders/>
            <w:vAlign w:val="center"/>
          </w:tcPr>
          <w:p>
            <w:pPr>
              <w:pStyle w:val="TableContents"/>
              <w:bidi w:val="0"/>
              <w:spacing w:before="0" w:after="283"/>
              <w:jc w:val="left"/>
              <w:rPr>
                <w:sz w:val="4"/>
                <w:szCs w:val="4"/>
              </w:rPr>
            </w:pPr>
            <w:r>
              <w:rPr>
                <w:sz w:val="4"/>
                <w:szCs w:val="4"/>
              </w:rPr>
            </w:r>
          </w:p>
        </w:tc>
        <w:tc>
          <w:tcPr>
            <w:tcW w:w="3321" w:type="dxa"/>
            <w:gridSpan w:val="2"/>
            <w:tcBorders/>
            <w:vAlign w:val="center"/>
          </w:tcPr>
          <w:p>
            <w:pPr>
              <w:pStyle w:val="TableContents"/>
              <w:bidi w:val="0"/>
              <w:spacing w:before="0" w:after="283"/>
              <w:jc w:val="left"/>
              <w:rPr>
                <w:sz w:val="4"/>
                <w:szCs w:val="4"/>
              </w:rPr>
            </w:pPr>
            <w:r>
              <w:rPr>
                <w:sz w:val="4"/>
                <w:szCs w:val="4"/>
              </w:rPr>
            </w:r>
          </w:p>
        </w:tc>
        <w:tc>
          <w:tcPr>
            <w:tcW w:w="3344" w:type="dxa"/>
            <w:gridSpan w:val="2"/>
            <w:tcBorders/>
            <w:vAlign w:val="center"/>
          </w:tcPr>
          <w:p>
            <w:pPr>
              <w:pStyle w:val="TableContents"/>
              <w:bidi w:val="0"/>
              <w:spacing w:before="0" w:after="283"/>
              <w:jc w:val="left"/>
              <w:rPr>
                <w:sz w:val="4"/>
                <w:szCs w:val="4"/>
              </w:rPr>
            </w:pPr>
            <w:r>
              <w:rPr>
                <w:sz w:val="4"/>
                <w:szCs w:val="4"/>
              </w:rPr>
            </w:r>
          </w:p>
        </w:tc>
      </w:tr>
      <w:tr>
        <w:trPr/>
        <w:tc>
          <w:tcPr>
            <w:tcW w:w="354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DANIEL E. SWANSTROM II</w:t>
            </w:r>
          </w:p>
          <w:p>
            <w:pPr>
              <w:pStyle w:val="TableContents"/>
              <w:bidi w:val="0"/>
              <w:spacing w:before="0" w:after="20"/>
              <w:jc w:val="center"/>
              <w:rPr>
                <w:rFonts w:ascii="Times New Roman" w:hAnsi="Times New Roman"/>
                <w:sz w:val="20"/>
              </w:rPr>
            </w:pPr>
            <w:r>
              <w:rPr>
                <w:rFonts w:ascii="Times New Roman" w:hAnsi="Times New Roman"/>
                <w:sz w:val="20"/>
              </w:rPr>
              <w:t>Daniel E. Swanstrom II</w:t>
            </w:r>
          </w:p>
        </w:tc>
        <w:tc>
          <w:tcPr>
            <w:tcW w:w="120" w:type="dxa"/>
            <w:tcBorders/>
            <w:vAlign w:val="bottom"/>
          </w:tcPr>
          <w:p>
            <w:pPr>
              <w:pStyle w:val="TableContents"/>
              <w:bidi w:val="0"/>
              <w:spacing w:before="0" w:after="283"/>
              <w:jc w:val="left"/>
              <w:rPr/>
            </w:pPr>
            <w:r>
              <w:rPr/>
              <w:t>  </w:t>
            </w:r>
          </w:p>
        </w:tc>
        <w:tc>
          <w:tcPr>
            <w:tcW w:w="3201" w:type="dxa"/>
            <w:tcBorders/>
          </w:tcPr>
          <w:p>
            <w:pPr>
              <w:pStyle w:val="TableContents"/>
              <w:bidi w:val="0"/>
              <w:spacing w:before="0" w:after="0"/>
              <w:jc w:val="left"/>
              <w:rPr>
                <w:rFonts w:ascii="Times New Roman" w:hAnsi="Times New Roman"/>
                <w:sz w:val="20"/>
              </w:rPr>
            </w:pPr>
            <w:r>
              <w:rPr>
                <w:rFonts w:ascii="Times New Roman" w:hAnsi="Times New Roman"/>
                <w:sz w:val="20"/>
              </w:rPr>
              <w:t>Senior Executive Vice President,</w:t>
            </w:r>
          </w:p>
          <w:p>
            <w:pPr>
              <w:pStyle w:val="TableContents"/>
              <w:bidi w:val="0"/>
              <w:spacing w:before="0" w:after="0"/>
              <w:jc w:val="left"/>
              <w:rPr>
                <w:rFonts w:ascii="Times New Roman" w:hAnsi="Times New Roman"/>
                <w:sz w:val="20"/>
              </w:rPr>
            </w:pPr>
            <w:r>
              <w:rPr>
                <w:rFonts w:ascii="Times New Roman" w:hAnsi="Times New Roman"/>
                <w:sz w:val="20"/>
              </w:rPr>
              <w:t>Chief Financial Officer and Treasurer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w:t>
            </w:r>
          </w:p>
        </w:tc>
        <w:tc>
          <w:tcPr>
            <w:tcW w:w="120" w:type="dxa"/>
            <w:tcBorders/>
            <w:vAlign w:val="bottom"/>
          </w:tcPr>
          <w:p>
            <w:pPr>
              <w:pStyle w:val="TableContents"/>
              <w:bidi w:val="0"/>
              <w:spacing w:before="0" w:after="283"/>
              <w:jc w:val="left"/>
              <w:rPr/>
            </w:pPr>
            <w:r>
              <w:rPr/>
              <w:t>  </w:t>
            </w:r>
          </w:p>
        </w:tc>
        <w:tc>
          <w:tcPr>
            <w:tcW w:w="3224" w:type="dxa"/>
            <w:tcBorders/>
          </w:tcPr>
          <w:p>
            <w:pPr>
              <w:pStyle w:val="TableContents"/>
              <w:bidi w:val="0"/>
              <w:spacing w:before="0" w:after="283"/>
              <w:jc w:val="center"/>
              <w:rPr/>
            </w:pPr>
            <w:r>
              <w:rPr/>
              <w:t>August 5, 2026</w:t>
            </w:r>
          </w:p>
        </w:tc>
      </w:tr>
      <w:tr>
        <w:trPr>
          <w:trHeight w:val="240" w:hRule="atLeast"/>
        </w:trPr>
        <w:tc>
          <w:tcPr>
            <w:tcW w:w="3540" w:type="dxa"/>
            <w:tcBorders/>
            <w:vAlign w:val="center"/>
          </w:tcPr>
          <w:p>
            <w:pPr>
              <w:pStyle w:val="TableContents"/>
              <w:bidi w:val="0"/>
              <w:spacing w:before="0" w:after="283"/>
              <w:jc w:val="left"/>
              <w:rPr>
                <w:sz w:val="4"/>
                <w:szCs w:val="4"/>
              </w:rPr>
            </w:pPr>
            <w:r>
              <w:rPr>
                <w:sz w:val="4"/>
                <w:szCs w:val="4"/>
              </w:rPr>
            </w:r>
          </w:p>
        </w:tc>
        <w:tc>
          <w:tcPr>
            <w:tcW w:w="3321" w:type="dxa"/>
            <w:gridSpan w:val="2"/>
            <w:tcBorders/>
            <w:vAlign w:val="center"/>
          </w:tcPr>
          <w:p>
            <w:pPr>
              <w:pStyle w:val="TableContents"/>
              <w:bidi w:val="0"/>
              <w:spacing w:before="0" w:after="283"/>
              <w:jc w:val="left"/>
              <w:rPr>
                <w:sz w:val="4"/>
                <w:szCs w:val="4"/>
              </w:rPr>
            </w:pPr>
            <w:r>
              <w:rPr>
                <w:sz w:val="4"/>
                <w:szCs w:val="4"/>
              </w:rPr>
            </w:r>
          </w:p>
        </w:tc>
        <w:tc>
          <w:tcPr>
            <w:tcW w:w="3344" w:type="dxa"/>
            <w:gridSpan w:val="2"/>
            <w:tcBorders/>
            <w:vAlign w:val="center"/>
          </w:tcPr>
          <w:p>
            <w:pPr>
              <w:pStyle w:val="TableContents"/>
              <w:bidi w:val="0"/>
              <w:spacing w:before="0" w:after="283"/>
              <w:jc w:val="left"/>
              <w:rPr>
                <w:sz w:val="4"/>
                <w:szCs w:val="4"/>
              </w:rPr>
            </w:pPr>
            <w:r>
              <w:rPr>
                <w:sz w:val="4"/>
                <w:szCs w:val="4"/>
              </w:rPr>
            </w:r>
          </w:p>
        </w:tc>
      </w:tr>
      <w:tr>
        <w:trPr/>
        <w:tc>
          <w:tcPr>
            <w:tcW w:w="354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CHRISTOPHER J. ZECCHINI</w:t>
            </w:r>
          </w:p>
          <w:p>
            <w:pPr>
              <w:pStyle w:val="TableContents"/>
              <w:bidi w:val="0"/>
              <w:spacing w:before="0" w:after="20"/>
              <w:jc w:val="center"/>
              <w:rPr>
                <w:rFonts w:ascii="Times New Roman" w:hAnsi="Times New Roman"/>
                <w:sz w:val="20"/>
              </w:rPr>
            </w:pPr>
            <w:r>
              <w:rPr>
                <w:rFonts w:ascii="Times New Roman" w:hAnsi="Times New Roman"/>
                <w:sz w:val="20"/>
              </w:rPr>
              <w:t>Christopher J. Zecchini</w:t>
            </w:r>
          </w:p>
        </w:tc>
        <w:tc>
          <w:tcPr>
            <w:tcW w:w="120" w:type="dxa"/>
            <w:tcBorders/>
            <w:vAlign w:val="bottom"/>
          </w:tcPr>
          <w:p>
            <w:pPr>
              <w:pStyle w:val="TableContents"/>
              <w:bidi w:val="0"/>
              <w:spacing w:before="0" w:after="283"/>
              <w:jc w:val="left"/>
              <w:rPr/>
            </w:pPr>
            <w:r>
              <w:rPr/>
              <w:t>  </w:t>
            </w:r>
          </w:p>
        </w:tc>
        <w:tc>
          <w:tcPr>
            <w:tcW w:w="3201" w:type="dxa"/>
            <w:tcBorders/>
          </w:tcPr>
          <w:p>
            <w:pPr>
              <w:pStyle w:val="TableContents"/>
              <w:bidi w:val="0"/>
              <w:spacing w:before="0" w:after="0"/>
              <w:jc w:val="left"/>
              <w:rPr>
                <w:rFonts w:ascii="Times New Roman" w:hAnsi="Times New Roman"/>
                <w:sz w:val="20"/>
              </w:rPr>
            </w:pPr>
            <w:r>
              <w:rPr>
                <w:rFonts w:ascii="Times New Roman" w:hAnsi="Times New Roman"/>
                <w:sz w:val="20"/>
              </w:rPr>
              <w:t>Senior Vice President and</w:t>
            </w:r>
          </w:p>
          <w:p>
            <w:pPr>
              <w:pStyle w:val="TableContents"/>
              <w:bidi w:val="0"/>
              <w:spacing w:before="0" w:after="20"/>
              <w:jc w:val="left"/>
              <w:rPr>
                <w:rFonts w:ascii="Times New Roman" w:hAnsi="Times New Roman"/>
                <w:sz w:val="20"/>
              </w:rPr>
            </w:pPr>
            <w:r>
              <w:rPr>
                <w:rFonts w:ascii="Times New Roman" w:hAnsi="Times New Roman"/>
                <w:sz w:val="20"/>
              </w:rPr>
              <w:t>Chief Accounting Officer</w:t>
              <w:br/>
              <w:t>(Principal Accounting Officer)</w:t>
            </w:r>
          </w:p>
        </w:tc>
        <w:tc>
          <w:tcPr>
            <w:tcW w:w="120" w:type="dxa"/>
            <w:tcBorders/>
            <w:vAlign w:val="bottom"/>
          </w:tcPr>
          <w:p>
            <w:pPr>
              <w:pStyle w:val="TableContents"/>
              <w:bidi w:val="0"/>
              <w:spacing w:before="0" w:after="283"/>
              <w:jc w:val="left"/>
              <w:rPr/>
            </w:pPr>
            <w:r>
              <w:rPr/>
              <w:t>  </w:t>
            </w:r>
          </w:p>
        </w:tc>
        <w:tc>
          <w:tcPr>
            <w:tcW w:w="3224" w:type="dxa"/>
            <w:tcBorders/>
          </w:tcPr>
          <w:p>
            <w:pPr>
              <w:pStyle w:val="TableContents"/>
              <w:bidi w:val="0"/>
              <w:spacing w:before="0" w:after="283"/>
              <w:jc w:val="center"/>
              <w:rPr/>
            </w:pPr>
            <w:r>
              <w:rPr/>
              <w:t>August 5,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p>
    <w:p>
      <w:pPr>
        <w:pStyle w:val="TextBody"/>
        <w:bidi w:val="0"/>
        <w:spacing w:before="0" w:after="0"/>
        <w:jc w:val="right"/>
        <w:rPr>
          <w:rFonts w:ascii="Times New Roman" w:hAnsi="Times New Roman"/>
          <w:b/>
          <w:sz w:val="20"/>
        </w:rPr>
      </w:pPr>
      <w:bookmarkStart w:id="24" w:name="d158325dex420.htm"/>
      <w:bookmarkStart w:id="25" w:name="ksd158325dex420"/>
      <w:bookmarkEnd w:id="24"/>
      <w:bookmarkEnd w:id="25"/>
      <w:r>
        <w:rPr>
          <w:rFonts w:ascii="Times New Roman" w:hAnsi="Times New Roman"/>
          <w:b/>
          <w:sz w:val="20"/>
        </w:rPr>
        <w:t xml:space="preserve">Exhibit 4.20 </w:t>
      </w:r>
      <w:r>
        <w:br w:type="page"/>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MACERICH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Issuer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[___________________________________] </w:t>
      </w:r>
    </w:p>
    <w:p>
      <w:pPr>
        <w:pStyle w:val="TextBody"/>
        <w:bidi w:val="0"/>
        <w:spacing w:before="240" w:after="0"/>
        <w:jc w:val="center"/>
        <w:rPr>
          <w:rFonts w:ascii="Times New Roman" w:hAnsi="Times New Roman"/>
          <w:b/>
          <w:sz w:val="20"/>
        </w:rPr>
      </w:pPr>
      <w:r>
        <w:rPr>
          <w:rFonts w:ascii="Times New Roman" w:hAnsi="Times New Roman"/>
          <w:b/>
          <w:sz w:val="20"/>
        </w:rPr>
        <w:t xml:space="preserve">Trustee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 20 </w:t>
      </w:r>
    </w:p>
    <w:p>
      <w:pPr>
        <w:pStyle w:val="TextBody"/>
        <w:bidi w:val="0"/>
        <w:spacing w:before="240" w:after="0"/>
        <w:jc w:val="center"/>
        <w:rPr>
          <w:rFonts w:ascii="Times New Roman" w:hAnsi="Times New Roman"/>
          <w:b/>
          <w:sz w:val="20"/>
        </w:rPr>
      </w:pPr>
      <w:r>
        <w:rPr>
          <w:rFonts w:ascii="Times New Roman" w:hAnsi="Times New Roman"/>
          <w:b/>
          <w:sz w:val="20"/>
        </w:rPr>
        <w:t xml:space="preserve">Senior Debt Securities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78"/>
        <w:gridCol w:w="76"/>
        <w:gridCol w:w="8140"/>
        <w:gridCol w:w="133"/>
        <w:gridCol w:w="96"/>
        <w:gridCol w:w="419"/>
        <w:gridCol w:w="63"/>
      </w:tblGrid>
      <w:tr>
        <w:trPr/>
        <w:tc>
          <w:tcPr>
            <w:tcW w:w="1278"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814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278"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94" w:type="dxa"/>
            <w:gridSpan w:val="3"/>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9494" w:type="dxa"/>
            <w:gridSpan w:val="3"/>
            <w:tcBorders/>
          </w:tcPr>
          <w:p>
            <w:pPr>
              <w:pStyle w:val="TableContents"/>
              <w:bidi w:val="0"/>
              <w:spacing w:before="0" w:after="283"/>
              <w:jc w:val="left"/>
              <w:rPr/>
            </w:pPr>
            <w:r>
              <w:rPr/>
              <w:t>Article I Definitions</w:t>
            </w:r>
          </w:p>
        </w:tc>
        <w:tc>
          <w:tcPr>
            <w:tcW w:w="133"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5</w:t>
            </w:r>
          </w:p>
        </w:tc>
        <w:tc>
          <w:tcPr>
            <w:tcW w:w="63" w:type="dxa"/>
            <w:tcBorders/>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Definitions Of Terms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494" w:type="dxa"/>
            <w:gridSpan w:val="3"/>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9494" w:type="dxa"/>
            <w:gridSpan w:val="3"/>
            <w:tcBorders/>
          </w:tcPr>
          <w:p>
            <w:pPr>
              <w:pStyle w:val="TableContents"/>
              <w:bidi w:val="0"/>
              <w:spacing w:before="0" w:after="283"/>
              <w:jc w:val="left"/>
              <w:rPr/>
            </w:pPr>
            <w:r>
              <w:rPr/>
              <w:t>Article II Issue, Description, Terms, Execution, Registration And Exchange Of Securities</w:t>
            </w:r>
          </w:p>
        </w:tc>
        <w:tc>
          <w:tcPr>
            <w:tcW w:w="133"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8</w:t>
            </w:r>
          </w:p>
        </w:tc>
        <w:tc>
          <w:tcPr>
            <w:tcW w:w="63" w:type="dxa"/>
            <w:tcBorders/>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Designation And Terms Of Securities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Form Of Securities And Trustee’s Certificate</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Denominations; Provisions For Payment</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Execution And Authentications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Registration Of Transfer And Exchange</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Temporary Securities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Mutilated, Destroyed, Lost Or Stolen Securities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Cancellation</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2.9</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Benefits Of Indenture</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Authenticating Agent</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Global Securities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CUSIP Numbers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494" w:type="dxa"/>
            <w:gridSpan w:val="3"/>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9494" w:type="dxa"/>
            <w:gridSpan w:val="3"/>
            <w:tcBorders/>
          </w:tcPr>
          <w:p>
            <w:pPr>
              <w:pStyle w:val="TableContents"/>
              <w:bidi w:val="0"/>
              <w:spacing w:before="0" w:after="283"/>
              <w:jc w:val="left"/>
              <w:rPr/>
            </w:pPr>
            <w:r>
              <w:rPr/>
              <w:t>Article III Redemption Of Securities And Sinking Fund Provisions</w:t>
            </w:r>
          </w:p>
        </w:tc>
        <w:tc>
          <w:tcPr>
            <w:tcW w:w="133"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16</w:t>
            </w:r>
          </w:p>
        </w:tc>
        <w:tc>
          <w:tcPr>
            <w:tcW w:w="63" w:type="dxa"/>
            <w:tcBorders/>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Redemption</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Notice Of Redemption</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Payment Upon Redemption</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Sinking Fund</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Satisfaction Of Sinking Fund Payments With Securities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Redemption Of Securities For Sinking Fund</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9494" w:type="dxa"/>
            <w:gridSpan w:val="3"/>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9494" w:type="dxa"/>
            <w:gridSpan w:val="3"/>
            <w:tcBorders/>
          </w:tcPr>
          <w:p>
            <w:pPr>
              <w:pStyle w:val="TableContents"/>
              <w:bidi w:val="0"/>
              <w:spacing w:before="0" w:after="283"/>
              <w:jc w:val="left"/>
              <w:rPr/>
            </w:pPr>
            <w:r>
              <w:rPr/>
              <w:t>Article IV Covenants</w:t>
            </w:r>
          </w:p>
        </w:tc>
        <w:tc>
          <w:tcPr>
            <w:tcW w:w="133"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18</w:t>
            </w:r>
          </w:p>
        </w:tc>
        <w:tc>
          <w:tcPr>
            <w:tcW w:w="63" w:type="dxa"/>
            <w:tcBorders/>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Payment Of Principal, Premium And Interest</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Maintenance Of Office Or Agency</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Paying Agents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Appointment To Fill Vacancy In Office Of Trustee</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Compliance With Consolidation Provisions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9494" w:type="dxa"/>
            <w:gridSpan w:val="3"/>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9494" w:type="dxa"/>
            <w:gridSpan w:val="3"/>
            <w:tcBorders/>
          </w:tcPr>
          <w:p>
            <w:pPr>
              <w:pStyle w:val="TableContents"/>
              <w:bidi w:val="0"/>
              <w:spacing w:before="0" w:after="283"/>
              <w:jc w:val="left"/>
              <w:rPr/>
            </w:pPr>
            <w:r>
              <w:rPr/>
              <w:t>Article V Securityholders’ Lists And Reports By The Company And The Trustee</w:t>
            </w:r>
          </w:p>
        </w:tc>
        <w:tc>
          <w:tcPr>
            <w:tcW w:w="133"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19</w:t>
            </w:r>
          </w:p>
        </w:tc>
        <w:tc>
          <w:tcPr>
            <w:tcW w:w="63" w:type="dxa"/>
            <w:tcBorders/>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Company To Furnish Trustee Names And Addresses Of Securityholders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Preservation Of Information; Communications With Securityholders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Reports By The Company</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Reports By The Trustee</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9494" w:type="dxa"/>
            <w:gridSpan w:val="3"/>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9494" w:type="dxa"/>
            <w:gridSpan w:val="3"/>
            <w:tcBorders/>
          </w:tcPr>
          <w:p>
            <w:pPr>
              <w:pStyle w:val="TableContents"/>
              <w:bidi w:val="0"/>
              <w:spacing w:before="0" w:after="283"/>
              <w:jc w:val="left"/>
              <w:rPr/>
            </w:pPr>
            <w:r>
              <w:rPr/>
              <w:t>Article VI Remedies Of The Trustee And Securityholders On Event Of Default</w:t>
            </w:r>
          </w:p>
        </w:tc>
        <w:tc>
          <w:tcPr>
            <w:tcW w:w="133"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19" w:type="dxa"/>
            <w:tcBorders/>
          </w:tcPr>
          <w:p>
            <w:pPr>
              <w:pStyle w:val="TableContents"/>
              <w:bidi w:val="0"/>
              <w:spacing w:before="0" w:after="283"/>
              <w:jc w:val="right"/>
              <w:rPr/>
            </w:pPr>
            <w:r>
              <w:rPr/>
              <w:t>20</w:t>
            </w:r>
          </w:p>
        </w:tc>
        <w:tc>
          <w:tcPr>
            <w:tcW w:w="63" w:type="dxa"/>
            <w:tcBorders/>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Events Of Default</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1278" w:type="dxa"/>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76" w:type="dxa"/>
            <w:tcBorders/>
            <w:vAlign w:val="bottom"/>
          </w:tcPr>
          <w:p>
            <w:pPr>
              <w:pStyle w:val="TableContents"/>
              <w:bidi w:val="0"/>
              <w:spacing w:before="0" w:after="283"/>
              <w:jc w:val="left"/>
              <w:rPr/>
            </w:pPr>
            <w:r>
              <w:rPr/>
              <w:t> </w:t>
            </w:r>
          </w:p>
        </w:tc>
        <w:tc>
          <w:tcPr>
            <w:tcW w:w="8140" w:type="dxa"/>
            <w:tcBorders/>
            <w:vAlign w:val="bottom"/>
          </w:tcPr>
          <w:p>
            <w:pPr>
              <w:pStyle w:val="TableContents"/>
              <w:bidi w:val="0"/>
              <w:spacing w:before="0" w:after="283"/>
              <w:jc w:val="left"/>
              <w:rPr/>
            </w:pPr>
            <w:r>
              <w:rPr/>
              <w:t>Collection Of Indebtedness And Suits For Enforcement By Trustee</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92"/>
        <w:gridCol w:w="84"/>
        <w:gridCol w:w="8209"/>
        <w:gridCol w:w="137"/>
        <w:gridCol w:w="60"/>
        <w:gridCol w:w="260"/>
        <w:gridCol w:w="63"/>
      </w:tblGrid>
      <w:tr>
        <w:trPr/>
        <w:tc>
          <w:tcPr>
            <w:tcW w:w="1392"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8209"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Application Of Moneys Collected</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Limitation On Suits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Rights And Remedies Cumulative; Delay Or Omission Not Waiver</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Control By Securityholders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Undertaking To Pay Costs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9685" w:type="dxa"/>
            <w:gridSpan w:val="3"/>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96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Concerning The Trustee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Certain Duties And Responsibilities Of Trustee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Certain Rights Of Trustee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Trustee Not Responsible For Recitals Or Issuance Or Securities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May Hold Securities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Moneys Held In Trust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Compensation And Reimbursement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Reliance On Officers’ Certificate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Disqualification; Conflicting Interests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Corporate Trustee Required; Eligibility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Resignation And Removal; Appointment Of Successor</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Acceptance Of Appointment By Successor</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Merger, Conversion, Consolidation Or Succession To Business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Preferential Collection Of Claims Against The Company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Notice Of Default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9685" w:type="dxa"/>
            <w:gridSpan w:val="3"/>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96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Concerning The Securityholders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Evidence Of Action By Securityholders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Proof Of Execution By Securityholders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Who May Be Deemed Owners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8.4</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Certain Securities Owned By Company Disregarded</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8.5</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Actions Binding On Future Securityholders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9685" w:type="dxa"/>
            <w:gridSpan w:val="3"/>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96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Supplemental Indentures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Supplemental Indentures Without The Consent Of Securityholders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Supplemental Indentures With Consent Of Securityholders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Effect Of Supplemental Indentures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Securities Affected By Supplemental Indentures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Execution Of Supplemental Indentures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9685" w:type="dxa"/>
            <w:gridSpan w:val="3"/>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96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Successor Entity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Company May Consolidate, Etc.</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Successor Entity Substituted</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Evidence Of Consolidation, Etc. To Trustee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9685" w:type="dxa"/>
            <w:gridSpan w:val="3"/>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96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 Satisfaction And Discharge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Satisfaction And Discharge Of Indenture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392"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20" w:type="dxa"/>
            <w:gridSpan w:val="4"/>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84" w:type="dxa"/>
            <w:tcBorders/>
            <w:vAlign w:val="bottom"/>
          </w:tcPr>
          <w:p>
            <w:pPr>
              <w:pStyle w:val="TableContents"/>
              <w:bidi w:val="0"/>
              <w:spacing w:before="0" w:after="283"/>
              <w:jc w:val="left"/>
              <w:rPr/>
            </w:pPr>
            <w:r>
              <w:rPr/>
              <w:t> </w:t>
            </w:r>
          </w:p>
        </w:tc>
        <w:tc>
          <w:tcPr>
            <w:tcW w:w="8209" w:type="dxa"/>
            <w:tcBorders/>
            <w:vAlign w:val="bottom"/>
          </w:tcPr>
          <w:p>
            <w:pPr>
              <w:pStyle w:val="TableContents"/>
              <w:bidi w:val="0"/>
              <w:spacing w:before="0" w:after="283"/>
              <w:jc w:val="left"/>
              <w:rPr/>
            </w:pPr>
            <w:r>
              <w:rPr/>
              <w:t>Application Of Trust Money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07"/>
        <w:gridCol w:w="93"/>
        <w:gridCol w:w="7978"/>
        <w:gridCol w:w="143"/>
        <w:gridCol w:w="60"/>
        <w:gridCol w:w="260"/>
        <w:gridCol w:w="64"/>
      </w:tblGrid>
      <w:tr>
        <w:trPr/>
        <w:tc>
          <w:tcPr>
            <w:tcW w:w="1607"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7978"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607" w:type="dxa"/>
            <w:tcBorders/>
            <w:vAlign w:val="center"/>
          </w:tcPr>
          <w:p>
            <w:pPr>
              <w:pStyle w:val="TableContents"/>
              <w:bidi w:val="0"/>
              <w:spacing w:before="0" w:after="283"/>
              <w:jc w:val="left"/>
              <w:rPr>
                <w:sz w:val="4"/>
                <w:szCs w:val="4"/>
              </w:rPr>
            </w:pPr>
            <w:r>
              <w:rPr>
                <w:sz w:val="4"/>
                <w:szCs w:val="4"/>
              </w:rPr>
            </w:r>
          </w:p>
        </w:tc>
        <w:tc>
          <w:tcPr>
            <w:tcW w:w="807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93" w:type="dxa"/>
            <w:tcBorders/>
            <w:vAlign w:val="bottom"/>
          </w:tcPr>
          <w:p>
            <w:pPr>
              <w:pStyle w:val="TableContents"/>
              <w:bidi w:val="0"/>
              <w:spacing w:before="0" w:after="283"/>
              <w:jc w:val="left"/>
              <w:rPr/>
            </w:pPr>
            <w:r>
              <w:rPr/>
              <w:t> </w:t>
            </w:r>
          </w:p>
        </w:tc>
        <w:tc>
          <w:tcPr>
            <w:tcW w:w="7978" w:type="dxa"/>
            <w:tcBorders/>
            <w:vAlign w:val="bottom"/>
          </w:tcPr>
          <w:p>
            <w:pPr>
              <w:pStyle w:val="TableContents"/>
              <w:bidi w:val="0"/>
              <w:spacing w:before="0" w:after="283"/>
              <w:jc w:val="left"/>
              <w:rPr/>
            </w:pPr>
            <w:r>
              <w:rPr/>
              <w:t>Discharge And Defeasance Of Securities Of Any Series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1607" w:type="dxa"/>
            <w:tcBorders/>
            <w:vAlign w:val="center"/>
          </w:tcPr>
          <w:p>
            <w:pPr>
              <w:pStyle w:val="TableContents"/>
              <w:bidi w:val="0"/>
              <w:spacing w:before="0" w:after="283"/>
              <w:jc w:val="left"/>
              <w:rPr>
                <w:sz w:val="4"/>
                <w:szCs w:val="4"/>
              </w:rPr>
            </w:pPr>
            <w:r>
              <w:rPr>
                <w:sz w:val="4"/>
                <w:szCs w:val="4"/>
              </w:rPr>
            </w:r>
          </w:p>
        </w:tc>
        <w:tc>
          <w:tcPr>
            <w:tcW w:w="807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Section 11.4</w:t>
            </w:r>
          </w:p>
        </w:tc>
        <w:tc>
          <w:tcPr>
            <w:tcW w:w="93" w:type="dxa"/>
            <w:tcBorders/>
            <w:vAlign w:val="bottom"/>
          </w:tcPr>
          <w:p>
            <w:pPr>
              <w:pStyle w:val="TableContents"/>
              <w:bidi w:val="0"/>
              <w:spacing w:before="0" w:after="283"/>
              <w:jc w:val="left"/>
              <w:rPr/>
            </w:pPr>
            <w:r>
              <w:rPr/>
              <w:t> </w:t>
            </w:r>
          </w:p>
        </w:tc>
        <w:tc>
          <w:tcPr>
            <w:tcW w:w="7978" w:type="dxa"/>
            <w:tcBorders/>
            <w:vAlign w:val="bottom"/>
          </w:tcPr>
          <w:p>
            <w:pPr>
              <w:pStyle w:val="TableContents"/>
              <w:bidi w:val="0"/>
              <w:spacing w:before="0" w:after="283"/>
              <w:jc w:val="left"/>
              <w:rPr/>
            </w:pPr>
            <w:r>
              <w:rPr/>
              <w:t>Reinstatement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1607" w:type="dxa"/>
            <w:tcBorders/>
            <w:vAlign w:val="center"/>
          </w:tcPr>
          <w:p>
            <w:pPr>
              <w:pStyle w:val="TableContents"/>
              <w:bidi w:val="0"/>
              <w:spacing w:before="0" w:after="283"/>
              <w:jc w:val="left"/>
              <w:rPr>
                <w:sz w:val="4"/>
                <w:szCs w:val="4"/>
              </w:rPr>
            </w:pPr>
            <w:r>
              <w:rPr>
                <w:sz w:val="4"/>
                <w:szCs w:val="4"/>
              </w:rPr>
            </w:r>
          </w:p>
        </w:tc>
        <w:tc>
          <w:tcPr>
            <w:tcW w:w="807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Section 11.5</w:t>
            </w:r>
          </w:p>
        </w:tc>
        <w:tc>
          <w:tcPr>
            <w:tcW w:w="93" w:type="dxa"/>
            <w:tcBorders/>
            <w:vAlign w:val="bottom"/>
          </w:tcPr>
          <w:p>
            <w:pPr>
              <w:pStyle w:val="TableContents"/>
              <w:bidi w:val="0"/>
              <w:spacing w:before="0" w:after="283"/>
              <w:jc w:val="left"/>
              <w:rPr/>
            </w:pPr>
            <w:r>
              <w:rPr/>
              <w:t> </w:t>
            </w:r>
          </w:p>
        </w:tc>
        <w:tc>
          <w:tcPr>
            <w:tcW w:w="7978" w:type="dxa"/>
            <w:tcBorders/>
            <w:vAlign w:val="bottom"/>
          </w:tcPr>
          <w:p>
            <w:pPr>
              <w:pStyle w:val="TableContents"/>
              <w:bidi w:val="0"/>
              <w:spacing w:before="0" w:after="283"/>
              <w:jc w:val="left"/>
              <w:rPr/>
            </w:pPr>
            <w:r>
              <w:rPr/>
              <w:t>Deposited Moneys To Be Held In Trust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1607" w:type="dxa"/>
            <w:tcBorders/>
            <w:vAlign w:val="center"/>
          </w:tcPr>
          <w:p>
            <w:pPr>
              <w:pStyle w:val="TableContents"/>
              <w:bidi w:val="0"/>
              <w:spacing w:before="0" w:after="283"/>
              <w:jc w:val="left"/>
              <w:rPr>
                <w:sz w:val="4"/>
                <w:szCs w:val="4"/>
              </w:rPr>
            </w:pPr>
            <w:r>
              <w:rPr>
                <w:sz w:val="4"/>
                <w:szCs w:val="4"/>
              </w:rPr>
            </w:r>
          </w:p>
        </w:tc>
        <w:tc>
          <w:tcPr>
            <w:tcW w:w="807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Section 11.6</w:t>
            </w:r>
          </w:p>
        </w:tc>
        <w:tc>
          <w:tcPr>
            <w:tcW w:w="93" w:type="dxa"/>
            <w:tcBorders/>
            <w:vAlign w:val="bottom"/>
          </w:tcPr>
          <w:p>
            <w:pPr>
              <w:pStyle w:val="TableContents"/>
              <w:bidi w:val="0"/>
              <w:spacing w:before="0" w:after="283"/>
              <w:jc w:val="left"/>
              <w:rPr/>
            </w:pPr>
            <w:r>
              <w:rPr/>
              <w:t> </w:t>
            </w:r>
          </w:p>
        </w:tc>
        <w:tc>
          <w:tcPr>
            <w:tcW w:w="7978" w:type="dxa"/>
            <w:tcBorders/>
            <w:vAlign w:val="bottom"/>
          </w:tcPr>
          <w:p>
            <w:pPr>
              <w:pStyle w:val="TableContents"/>
              <w:bidi w:val="0"/>
              <w:spacing w:before="0" w:after="283"/>
              <w:jc w:val="left"/>
              <w:rPr/>
            </w:pPr>
            <w:r>
              <w:rPr/>
              <w:t>Payment Of Moneys Held By Paying Agents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rHeight w:val="120" w:hRule="atLeast"/>
        </w:trPr>
        <w:tc>
          <w:tcPr>
            <w:tcW w:w="1607" w:type="dxa"/>
            <w:tcBorders/>
            <w:vAlign w:val="center"/>
          </w:tcPr>
          <w:p>
            <w:pPr>
              <w:pStyle w:val="TableContents"/>
              <w:bidi w:val="0"/>
              <w:spacing w:before="0" w:after="283"/>
              <w:jc w:val="left"/>
              <w:rPr>
                <w:sz w:val="4"/>
                <w:szCs w:val="4"/>
              </w:rPr>
            </w:pPr>
            <w:r>
              <w:rPr>
                <w:sz w:val="4"/>
                <w:szCs w:val="4"/>
              </w:rPr>
            </w:r>
          </w:p>
        </w:tc>
        <w:tc>
          <w:tcPr>
            <w:tcW w:w="807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Section 11.7</w:t>
            </w:r>
          </w:p>
        </w:tc>
        <w:tc>
          <w:tcPr>
            <w:tcW w:w="93" w:type="dxa"/>
            <w:tcBorders/>
            <w:vAlign w:val="bottom"/>
          </w:tcPr>
          <w:p>
            <w:pPr>
              <w:pStyle w:val="TableContents"/>
              <w:bidi w:val="0"/>
              <w:spacing w:before="0" w:after="283"/>
              <w:jc w:val="left"/>
              <w:rPr/>
            </w:pPr>
            <w:r>
              <w:rPr/>
              <w:t> </w:t>
            </w:r>
          </w:p>
        </w:tc>
        <w:tc>
          <w:tcPr>
            <w:tcW w:w="7978" w:type="dxa"/>
            <w:tcBorders/>
            <w:vAlign w:val="bottom"/>
          </w:tcPr>
          <w:p>
            <w:pPr>
              <w:pStyle w:val="TableContents"/>
              <w:bidi w:val="0"/>
              <w:spacing w:before="0" w:after="283"/>
              <w:jc w:val="left"/>
              <w:rPr/>
            </w:pPr>
            <w:r>
              <w:rPr/>
              <w:t>Repayment To Company</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rHeight w:val="120" w:hRule="atLeast"/>
        </w:trPr>
        <w:tc>
          <w:tcPr>
            <w:tcW w:w="9678" w:type="dxa"/>
            <w:gridSpan w:val="3"/>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967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XII Immunity Of Incorporators, Stockholders, Officers And Directors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rHeight w:val="120" w:hRule="atLeast"/>
        </w:trPr>
        <w:tc>
          <w:tcPr>
            <w:tcW w:w="1607" w:type="dxa"/>
            <w:tcBorders/>
            <w:vAlign w:val="center"/>
          </w:tcPr>
          <w:p>
            <w:pPr>
              <w:pStyle w:val="TableContents"/>
              <w:bidi w:val="0"/>
              <w:spacing w:before="0" w:after="283"/>
              <w:jc w:val="left"/>
              <w:rPr>
                <w:sz w:val="4"/>
                <w:szCs w:val="4"/>
              </w:rPr>
            </w:pPr>
            <w:r>
              <w:rPr>
                <w:sz w:val="4"/>
                <w:szCs w:val="4"/>
              </w:rPr>
            </w:r>
          </w:p>
        </w:tc>
        <w:tc>
          <w:tcPr>
            <w:tcW w:w="807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Section 12.1</w:t>
            </w:r>
          </w:p>
        </w:tc>
        <w:tc>
          <w:tcPr>
            <w:tcW w:w="93" w:type="dxa"/>
            <w:tcBorders/>
            <w:vAlign w:val="bottom"/>
          </w:tcPr>
          <w:p>
            <w:pPr>
              <w:pStyle w:val="TableContents"/>
              <w:bidi w:val="0"/>
              <w:spacing w:before="0" w:after="283"/>
              <w:jc w:val="left"/>
              <w:rPr/>
            </w:pPr>
            <w:r>
              <w:rPr/>
              <w:t> </w:t>
            </w:r>
          </w:p>
        </w:tc>
        <w:tc>
          <w:tcPr>
            <w:tcW w:w="7978" w:type="dxa"/>
            <w:tcBorders/>
            <w:vAlign w:val="bottom"/>
          </w:tcPr>
          <w:p>
            <w:pPr>
              <w:pStyle w:val="TableContents"/>
              <w:bidi w:val="0"/>
              <w:spacing w:before="0" w:after="283"/>
              <w:jc w:val="left"/>
              <w:rPr/>
            </w:pPr>
            <w:r>
              <w:rPr/>
              <w:t>No Recourse</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rHeight w:val="120" w:hRule="atLeast"/>
        </w:trPr>
        <w:tc>
          <w:tcPr>
            <w:tcW w:w="9678" w:type="dxa"/>
            <w:gridSpan w:val="3"/>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967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XIII Miscellaneous Provisions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rHeight w:val="120" w:hRule="atLeast"/>
        </w:trPr>
        <w:tc>
          <w:tcPr>
            <w:tcW w:w="1607" w:type="dxa"/>
            <w:tcBorders/>
            <w:vAlign w:val="center"/>
          </w:tcPr>
          <w:p>
            <w:pPr>
              <w:pStyle w:val="TableContents"/>
              <w:bidi w:val="0"/>
              <w:spacing w:before="0" w:after="283"/>
              <w:jc w:val="left"/>
              <w:rPr>
                <w:sz w:val="4"/>
                <w:szCs w:val="4"/>
              </w:rPr>
            </w:pPr>
            <w:r>
              <w:rPr>
                <w:sz w:val="4"/>
                <w:szCs w:val="4"/>
              </w:rPr>
            </w:r>
          </w:p>
        </w:tc>
        <w:tc>
          <w:tcPr>
            <w:tcW w:w="807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Section 13.1</w:t>
            </w:r>
          </w:p>
        </w:tc>
        <w:tc>
          <w:tcPr>
            <w:tcW w:w="93" w:type="dxa"/>
            <w:tcBorders/>
            <w:vAlign w:val="bottom"/>
          </w:tcPr>
          <w:p>
            <w:pPr>
              <w:pStyle w:val="TableContents"/>
              <w:bidi w:val="0"/>
              <w:spacing w:before="0" w:after="283"/>
              <w:jc w:val="left"/>
              <w:rPr/>
            </w:pPr>
            <w:r>
              <w:rPr/>
              <w:t> </w:t>
            </w:r>
          </w:p>
        </w:tc>
        <w:tc>
          <w:tcPr>
            <w:tcW w:w="7978" w:type="dxa"/>
            <w:tcBorders/>
            <w:vAlign w:val="bottom"/>
          </w:tcPr>
          <w:p>
            <w:pPr>
              <w:pStyle w:val="TableContents"/>
              <w:bidi w:val="0"/>
              <w:spacing w:before="0" w:after="283"/>
              <w:jc w:val="left"/>
              <w:rPr/>
            </w:pPr>
            <w:r>
              <w:rPr/>
              <w:t>Effect On Successors And Assigns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rHeight w:val="120" w:hRule="atLeast"/>
        </w:trPr>
        <w:tc>
          <w:tcPr>
            <w:tcW w:w="1607" w:type="dxa"/>
            <w:tcBorders/>
            <w:vAlign w:val="center"/>
          </w:tcPr>
          <w:p>
            <w:pPr>
              <w:pStyle w:val="TableContents"/>
              <w:bidi w:val="0"/>
              <w:spacing w:before="0" w:after="283"/>
              <w:jc w:val="left"/>
              <w:rPr>
                <w:sz w:val="4"/>
                <w:szCs w:val="4"/>
              </w:rPr>
            </w:pPr>
            <w:r>
              <w:rPr>
                <w:sz w:val="4"/>
                <w:szCs w:val="4"/>
              </w:rPr>
            </w:r>
          </w:p>
        </w:tc>
        <w:tc>
          <w:tcPr>
            <w:tcW w:w="807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Section 13.2</w:t>
            </w:r>
          </w:p>
        </w:tc>
        <w:tc>
          <w:tcPr>
            <w:tcW w:w="93" w:type="dxa"/>
            <w:tcBorders/>
            <w:vAlign w:val="bottom"/>
          </w:tcPr>
          <w:p>
            <w:pPr>
              <w:pStyle w:val="TableContents"/>
              <w:bidi w:val="0"/>
              <w:spacing w:before="0" w:after="283"/>
              <w:jc w:val="left"/>
              <w:rPr/>
            </w:pPr>
            <w:r>
              <w:rPr/>
              <w:t> </w:t>
            </w:r>
          </w:p>
        </w:tc>
        <w:tc>
          <w:tcPr>
            <w:tcW w:w="7978" w:type="dxa"/>
            <w:tcBorders/>
            <w:vAlign w:val="bottom"/>
          </w:tcPr>
          <w:p>
            <w:pPr>
              <w:pStyle w:val="TableContents"/>
              <w:bidi w:val="0"/>
              <w:spacing w:before="0" w:after="283"/>
              <w:jc w:val="left"/>
              <w:rPr/>
            </w:pPr>
            <w:r>
              <w:rPr/>
              <w:t>Actions By Successor</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1607" w:type="dxa"/>
            <w:tcBorders/>
            <w:vAlign w:val="center"/>
          </w:tcPr>
          <w:p>
            <w:pPr>
              <w:pStyle w:val="TableContents"/>
              <w:bidi w:val="0"/>
              <w:spacing w:before="0" w:after="283"/>
              <w:jc w:val="left"/>
              <w:rPr>
                <w:sz w:val="4"/>
                <w:szCs w:val="4"/>
              </w:rPr>
            </w:pPr>
            <w:r>
              <w:rPr>
                <w:sz w:val="4"/>
                <w:szCs w:val="4"/>
              </w:rPr>
            </w:r>
          </w:p>
        </w:tc>
        <w:tc>
          <w:tcPr>
            <w:tcW w:w="807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Section 13.3</w:t>
            </w:r>
          </w:p>
        </w:tc>
        <w:tc>
          <w:tcPr>
            <w:tcW w:w="93" w:type="dxa"/>
            <w:tcBorders/>
            <w:vAlign w:val="bottom"/>
          </w:tcPr>
          <w:p>
            <w:pPr>
              <w:pStyle w:val="TableContents"/>
              <w:bidi w:val="0"/>
              <w:spacing w:before="0" w:after="283"/>
              <w:jc w:val="left"/>
              <w:rPr/>
            </w:pPr>
            <w:r>
              <w:rPr/>
              <w:t> </w:t>
            </w:r>
          </w:p>
        </w:tc>
        <w:tc>
          <w:tcPr>
            <w:tcW w:w="7978" w:type="dxa"/>
            <w:tcBorders/>
            <w:vAlign w:val="bottom"/>
          </w:tcPr>
          <w:p>
            <w:pPr>
              <w:pStyle w:val="TableContents"/>
              <w:bidi w:val="0"/>
              <w:spacing w:before="0" w:after="283"/>
              <w:jc w:val="left"/>
              <w:rPr/>
            </w:pPr>
            <w:r>
              <w:rPr/>
              <w:t>Surrender Of Company Powers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1607" w:type="dxa"/>
            <w:tcBorders/>
            <w:vAlign w:val="center"/>
          </w:tcPr>
          <w:p>
            <w:pPr>
              <w:pStyle w:val="TableContents"/>
              <w:bidi w:val="0"/>
              <w:spacing w:before="0" w:after="283"/>
              <w:jc w:val="left"/>
              <w:rPr>
                <w:sz w:val="4"/>
                <w:szCs w:val="4"/>
              </w:rPr>
            </w:pPr>
            <w:r>
              <w:rPr>
                <w:sz w:val="4"/>
                <w:szCs w:val="4"/>
              </w:rPr>
            </w:r>
          </w:p>
        </w:tc>
        <w:tc>
          <w:tcPr>
            <w:tcW w:w="807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Section 13.4</w:t>
            </w:r>
          </w:p>
        </w:tc>
        <w:tc>
          <w:tcPr>
            <w:tcW w:w="93" w:type="dxa"/>
            <w:tcBorders/>
            <w:vAlign w:val="bottom"/>
          </w:tcPr>
          <w:p>
            <w:pPr>
              <w:pStyle w:val="TableContents"/>
              <w:bidi w:val="0"/>
              <w:spacing w:before="0" w:after="283"/>
              <w:jc w:val="left"/>
              <w:rPr/>
            </w:pPr>
            <w:r>
              <w:rPr/>
              <w:t> </w:t>
            </w:r>
          </w:p>
        </w:tc>
        <w:tc>
          <w:tcPr>
            <w:tcW w:w="7978" w:type="dxa"/>
            <w:tcBorders/>
            <w:vAlign w:val="bottom"/>
          </w:tcPr>
          <w:p>
            <w:pPr>
              <w:pStyle w:val="TableContents"/>
              <w:bidi w:val="0"/>
              <w:spacing w:before="0" w:after="283"/>
              <w:jc w:val="left"/>
              <w:rPr/>
            </w:pPr>
            <w:r>
              <w:rPr/>
              <w:t>Notices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1607" w:type="dxa"/>
            <w:tcBorders/>
            <w:vAlign w:val="center"/>
          </w:tcPr>
          <w:p>
            <w:pPr>
              <w:pStyle w:val="TableContents"/>
              <w:bidi w:val="0"/>
              <w:spacing w:before="0" w:after="283"/>
              <w:jc w:val="left"/>
              <w:rPr>
                <w:sz w:val="4"/>
                <w:szCs w:val="4"/>
              </w:rPr>
            </w:pPr>
            <w:r>
              <w:rPr>
                <w:sz w:val="4"/>
                <w:szCs w:val="4"/>
              </w:rPr>
            </w:r>
          </w:p>
        </w:tc>
        <w:tc>
          <w:tcPr>
            <w:tcW w:w="807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Section 13.5</w:t>
            </w:r>
          </w:p>
        </w:tc>
        <w:tc>
          <w:tcPr>
            <w:tcW w:w="93" w:type="dxa"/>
            <w:tcBorders/>
            <w:vAlign w:val="bottom"/>
          </w:tcPr>
          <w:p>
            <w:pPr>
              <w:pStyle w:val="TableContents"/>
              <w:bidi w:val="0"/>
              <w:spacing w:before="0" w:after="283"/>
              <w:jc w:val="left"/>
              <w:rPr/>
            </w:pPr>
            <w:r>
              <w:rPr/>
              <w:t> </w:t>
            </w:r>
          </w:p>
        </w:tc>
        <w:tc>
          <w:tcPr>
            <w:tcW w:w="7978" w:type="dxa"/>
            <w:tcBorders/>
            <w:vAlign w:val="bottom"/>
          </w:tcPr>
          <w:p>
            <w:pPr>
              <w:pStyle w:val="TableContents"/>
              <w:bidi w:val="0"/>
              <w:spacing w:before="0" w:after="283"/>
              <w:jc w:val="left"/>
              <w:rPr/>
            </w:pPr>
            <w:r>
              <w:rPr/>
              <w:t>Governing Law</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1607" w:type="dxa"/>
            <w:tcBorders/>
            <w:vAlign w:val="center"/>
          </w:tcPr>
          <w:p>
            <w:pPr>
              <w:pStyle w:val="TableContents"/>
              <w:bidi w:val="0"/>
              <w:spacing w:before="0" w:after="283"/>
              <w:jc w:val="left"/>
              <w:rPr>
                <w:sz w:val="4"/>
                <w:szCs w:val="4"/>
              </w:rPr>
            </w:pPr>
            <w:r>
              <w:rPr>
                <w:sz w:val="4"/>
                <w:szCs w:val="4"/>
              </w:rPr>
            </w:r>
          </w:p>
        </w:tc>
        <w:tc>
          <w:tcPr>
            <w:tcW w:w="807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Section 13.6</w:t>
            </w:r>
          </w:p>
        </w:tc>
        <w:tc>
          <w:tcPr>
            <w:tcW w:w="93" w:type="dxa"/>
            <w:tcBorders/>
            <w:vAlign w:val="bottom"/>
          </w:tcPr>
          <w:p>
            <w:pPr>
              <w:pStyle w:val="TableContents"/>
              <w:bidi w:val="0"/>
              <w:spacing w:before="0" w:after="283"/>
              <w:jc w:val="left"/>
              <w:rPr/>
            </w:pPr>
            <w:r>
              <w:rPr/>
              <w:t> </w:t>
            </w:r>
          </w:p>
        </w:tc>
        <w:tc>
          <w:tcPr>
            <w:tcW w:w="7978" w:type="dxa"/>
            <w:tcBorders/>
            <w:vAlign w:val="bottom"/>
          </w:tcPr>
          <w:p>
            <w:pPr>
              <w:pStyle w:val="TableContents"/>
              <w:bidi w:val="0"/>
              <w:spacing w:before="0" w:after="283"/>
              <w:jc w:val="left"/>
              <w:rPr/>
            </w:pPr>
            <w:r>
              <w:rPr/>
              <w:t>Treatment Of Securities As Debt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1607" w:type="dxa"/>
            <w:tcBorders/>
            <w:vAlign w:val="center"/>
          </w:tcPr>
          <w:p>
            <w:pPr>
              <w:pStyle w:val="TableContents"/>
              <w:bidi w:val="0"/>
              <w:spacing w:before="0" w:after="283"/>
              <w:jc w:val="left"/>
              <w:rPr>
                <w:sz w:val="4"/>
                <w:szCs w:val="4"/>
              </w:rPr>
            </w:pPr>
            <w:r>
              <w:rPr>
                <w:sz w:val="4"/>
                <w:szCs w:val="4"/>
              </w:rPr>
            </w:r>
          </w:p>
        </w:tc>
        <w:tc>
          <w:tcPr>
            <w:tcW w:w="807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Section 13.7</w:t>
            </w:r>
          </w:p>
        </w:tc>
        <w:tc>
          <w:tcPr>
            <w:tcW w:w="93" w:type="dxa"/>
            <w:tcBorders/>
            <w:vAlign w:val="bottom"/>
          </w:tcPr>
          <w:p>
            <w:pPr>
              <w:pStyle w:val="TableContents"/>
              <w:bidi w:val="0"/>
              <w:spacing w:before="0" w:after="283"/>
              <w:jc w:val="left"/>
              <w:rPr/>
            </w:pPr>
            <w:r>
              <w:rPr/>
              <w:t> </w:t>
            </w:r>
          </w:p>
        </w:tc>
        <w:tc>
          <w:tcPr>
            <w:tcW w:w="7978" w:type="dxa"/>
            <w:tcBorders/>
            <w:vAlign w:val="bottom"/>
          </w:tcPr>
          <w:p>
            <w:pPr>
              <w:pStyle w:val="TableContents"/>
              <w:bidi w:val="0"/>
              <w:spacing w:before="0" w:after="283"/>
              <w:jc w:val="left"/>
              <w:rPr/>
            </w:pPr>
            <w:r>
              <w:rPr/>
              <w:t>Compliance Certificates And Opinions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1607" w:type="dxa"/>
            <w:tcBorders/>
            <w:vAlign w:val="center"/>
          </w:tcPr>
          <w:p>
            <w:pPr>
              <w:pStyle w:val="TableContents"/>
              <w:bidi w:val="0"/>
              <w:spacing w:before="0" w:after="283"/>
              <w:jc w:val="left"/>
              <w:rPr>
                <w:sz w:val="4"/>
                <w:szCs w:val="4"/>
              </w:rPr>
            </w:pPr>
            <w:r>
              <w:rPr>
                <w:sz w:val="4"/>
                <w:szCs w:val="4"/>
              </w:rPr>
            </w:r>
          </w:p>
        </w:tc>
        <w:tc>
          <w:tcPr>
            <w:tcW w:w="807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Section 13.8</w:t>
            </w:r>
          </w:p>
        </w:tc>
        <w:tc>
          <w:tcPr>
            <w:tcW w:w="93" w:type="dxa"/>
            <w:tcBorders/>
            <w:vAlign w:val="bottom"/>
          </w:tcPr>
          <w:p>
            <w:pPr>
              <w:pStyle w:val="TableContents"/>
              <w:bidi w:val="0"/>
              <w:spacing w:before="0" w:after="283"/>
              <w:jc w:val="left"/>
              <w:rPr/>
            </w:pPr>
            <w:r>
              <w:rPr/>
              <w:t> </w:t>
            </w:r>
          </w:p>
        </w:tc>
        <w:tc>
          <w:tcPr>
            <w:tcW w:w="7978" w:type="dxa"/>
            <w:tcBorders/>
            <w:vAlign w:val="bottom"/>
          </w:tcPr>
          <w:p>
            <w:pPr>
              <w:pStyle w:val="TableContents"/>
              <w:bidi w:val="0"/>
              <w:spacing w:before="0" w:after="283"/>
              <w:jc w:val="left"/>
              <w:rPr/>
            </w:pPr>
            <w:r>
              <w:rPr/>
              <w:t>Payments On Business Days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rHeight w:val="120" w:hRule="atLeast"/>
        </w:trPr>
        <w:tc>
          <w:tcPr>
            <w:tcW w:w="1607" w:type="dxa"/>
            <w:tcBorders/>
            <w:vAlign w:val="center"/>
          </w:tcPr>
          <w:p>
            <w:pPr>
              <w:pStyle w:val="TableContents"/>
              <w:bidi w:val="0"/>
              <w:spacing w:before="0" w:after="283"/>
              <w:jc w:val="left"/>
              <w:rPr>
                <w:sz w:val="4"/>
                <w:szCs w:val="4"/>
              </w:rPr>
            </w:pPr>
            <w:r>
              <w:rPr>
                <w:sz w:val="4"/>
                <w:szCs w:val="4"/>
              </w:rPr>
            </w:r>
          </w:p>
        </w:tc>
        <w:tc>
          <w:tcPr>
            <w:tcW w:w="807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Section 13.9</w:t>
            </w:r>
          </w:p>
        </w:tc>
        <w:tc>
          <w:tcPr>
            <w:tcW w:w="93" w:type="dxa"/>
            <w:tcBorders/>
            <w:vAlign w:val="bottom"/>
          </w:tcPr>
          <w:p>
            <w:pPr>
              <w:pStyle w:val="TableContents"/>
              <w:bidi w:val="0"/>
              <w:spacing w:before="0" w:after="283"/>
              <w:jc w:val="left"/>
              <w:rPr/>
            </w:pPr>
            <w:r>
              <w:rPr/>
              <w:t> </w:t>
            </w:r>
          </w:p>
        </w:tc>
        <w:tc>
          <w:tcPr>
            <w:tcW w:w="7978" w:type="dxa"/>
            <w:tcBorders/>
            <w:vAlign w:val="bottom"/>
          </w:tcPr>
          <w:p>
            <w:pPr>
              <w:pStyle w:val="TableContents"/>
              <w:bidi w:val="0"/>
              <w:spacing w:before="0" w:after="283"/>
              <w:jc w:val="left"/>
              <w:rPr/>
            </w:pPr>
            <w:r>
              <w:rPr/>
              <w:t>Conflict With Trust Indenture Act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rHeight w:val="120" w:hRule="atLeast"/>
        </w:trPr>
        <w:tc>
          <w:tcPr>
            <w:tcW w:w="1607" w:type="dxa"/>
            <w:tcBorders/>
            <w:vAlign w:val="center"/>
          </w:tcPr>
          <w:p>
            <w:pPr>
              <w:pStyle w:val="TableContents"/>
              <w:bidi w:val="0"/>
              <w:spacing w:before="0" w:after="283"/>
              <w:jc w:val="left"/>
              <w:rPr>
                <w:sz w:val="4"/>
                <w:szCs w:val="4"/>
              </w:rPr>
            </w:pPr>
            <w:r>
              <w:rPr>
                <w:sz w:val="4"/>
                <w:szCs w:val="4"/>
              </w:rPr>
            </w:r>
          </w:p>
        </w:tc>
        <w:tc>
          <w:tcPr>
            <w:tcW w:w="807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Section 13.10</w:t>
            </w:r>
          </w:p>
        </w:tc>
        <w:tc>
          <w:tcPr>
            <w:tcW w:w="93" w:type="dxa"/>
            <w:tcBorders/>
            <w:vAlign w:val="bottom"/>
          </w:tcPr>
          <w:p>
            <w:pPr>
              <w:pStyle w:val="TableContents"/>
              <w:bidi w:val="0"/>
              <w:spacing w:before="0" w:after="283"/>
              <w:jc w:val="left"/>
              <w:rPr/>
            </w:pPr>
            <w:r>
              <w:rPr/>
              <w:t> </w:t>
            </w:r>
          </w:p>
        </w:tc>
        <w:tc>
          <w:tcPr>
            <w:tcW w:w="7978" w:type="dxa"/>
            <w:tcBorders/>
            <w:vAlign w:val="bottom"/>
          </w:tcPr>
          <w:p>
            <w:pPr>
              <w:pStyle w:val="TableContents"/>
              <w:bidi w:val="0"/>
              <w:spacing w:before="0" w:after="283"/>
              <w:jc w:val="left"/>
              <w:rPr/>
            </w:pPr>
            <w:r>
              <w:rPr/>
              <w:t>Counterparts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rHeight w:val="120" w:hRule="atLeast"/>
        </w:trPr>
        <w:tc>
          <w:tcPr>
            <w:tcW w:w="1607" w:type="dxa"/>
            <w:tcBorders/>
            <w:vAlign w:val="center"/>
          </w:tcPr>
          <w:p>
            <w:pPr>
              <w:pStyle w:val="TableContents"/>
              <w:bidi w:val="0"/>
              <w:spacing w:before="0" w:after="283"/>
              <w:jc w:val="left"/>
              <w:rPr>
                <w:sz w:val="4"/>
                <w:szCs w:val="4"/>
              </w:rPr>
            </w:pPr>
            <w:r>
              <w:rPr>
                <w:sz w:val="4"/>
                <w:szCs w:val="4"/>
              </w:rPr>
            </w:r>
          </w:p>
        </w:tc>
        <w:tc>
          <w:tcPr>
            <w:tcW w:w="807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Section 13.11</w:t>
            </w:r>
          </w:p>
        </w:tc>
        <w:tc>
          <w:tcPr>
            <w:tcW w:w="93" w:type="dxa"/>
            <w:tcBorders/>
            <w:vAlign w:val="bottom"/>
          </w:tcPr>
          <w:p>
            <w:pPr>
              <w:pStyle w:val="TableContents"/>
              <w:bidi w:val="0"/>
              <w:spacing w:before="0" w:after="283"/>
              <w:jc w:val="left"/>
              <w:rPr/>
            </w:pPr>
            <w:r>
              <w:rPr/>
              <w:t> </w:t>
            </w:r>
          </w:p>
        </w:tc>
        <w:tc>
          <w:tcPr>
            <w:tcW w:w="7978" w:type="dxa"/>
            <w:tcBorders/>
            <w:vAlign w:val="bottom"/>
          </w:tcPr>
          <w:p>
            <w:pPr>
              <w:pStyle w:val="TableContents"/>
              <w:bidi w:val="0"/>
              <w:spacing w:before="0" w:after="283"/>
              <w:jc w:val="left"/>
              <w:rPr/>
            </w:pPr>
            <w:r>
              <w:rPr/>
              <w:t>Separability</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rHeight w:val="120" w:hRule="atLeast"/>
        </w:trPr>
        <w:tc>
          <w:tcPr>
            <w:tcW w:w="1607" w:type="dxa"/>
            <w:tcBorders/>
            <w:vAlign w:val="center"/>
          </w:tcPr>
          <w:p>
            <w:pPr>
              <w:pStyle w:val="TableContents"/>
              <w:bidi w:val="0"/>
              <w:spacing w:before="0" w:after="283"/>
              <w:jc w:val="left"/>
              <w:rPr>
                <w:sz w:val="4"/>
                <w:szCs w:val="4"/>
              </w:rPr>
            </w:pPr>
            <w:r>
              <w:rPr>
                <w:sz w:val="4"/>
                <w:szCs w:val="4"/>
              </w:rPr>
            </w:r>
          </w:p>
        </w:tc>
        <w:tc>
          <w:tcPr>
            <w:tcW w:w="807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Section 13.12</w:t>
            </w:r>
          </w:p>
        </w:tc>
        <w:tc>
          <w:tcPr>
            <w:tcW w:w="93" w:type="dxa"/>
            <w:tcBorders/>
            <w:vAlign w:val="bottom"/>
          </w:tcPr>
          <w:p>
            <w:pPr>
              <w:pStyle w:val="TableContents"/>
              <w:bidi w:val="0"/>
              <w:spacing w:before="0" w:after="283"/>
              <w:jc w:val="left"/>
              <w:rPr/>
            </w:pPr>
            <w:r>
              <w:rPr/>
              <w:t> </w:t>
            </w:r>
          </w:p>
        </w:tc>
        <w:tc>
          <w:tcPr>
            <w:tcW w:w="7978" w:type="dxa"/>
            <w:tcBorders/>
            <w:vAlign w:val="bottom"/>
          </w:tcPr>
          <w:p>
            <w:pPr>
              <w:pStyle w:val="TableContents"/>
              <w:bidi w:val="0"/>
              <w:spacing w:before="0" w:after="283"/>
              <w:jc w:val="left"/>
              <w:rPr/>
            </w:pPr>
            <w:r>
              <w:rPr/>
              <w:t>Table Of Contents, Headings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rHeight w:val="120" w:hRule="atLeast"/>
        </w:trPr>
        <w:tc>
          <w:tcPr>
            <w:tcW w:w="1607" w:type="dxa"/>
            <w:tcBorders/>
            <w:vAlign w:val="center"/>
          </w:tcPr>
          <w:p>
            <w:pPr>
              <w:pStyle w:val="TableContents"/>
              <w:bidi w:val="0"/>
              <w:spacing w:before="0" w:after="283"/>
              <w:jc w:val="left"/>
              <w:rPr>
                <w:sz w:val="4"/>
                <w:szCs w:val="4"/>
              </w:rPr>
            </w:pPr>
            <w:r>
              <w:rPr>
                <w:sz w:val="4"/>
                <w:szCs w:val="4"/>
              </w:rPr>
            </w:r>
          </w:p>
        </w:tc>
        <w:tc>
          <w:tcPr>
            <w:tcW w:w="807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Section 13.13</w:t>
            </w:r>
          </w:p>
        </w:tc>
        <w:tc>
          <w:tcPr>
            <w:tcW w:w="93" w:type="dxa"/>
            <w:tcBorders/>
            <w:vAlign w:val="bottom"/>
          </w:tcPr>
          <w:p>
            <w:pPr>
              <w:pStyle w:val="TableContents"/>
              <w:bidi w:val="0"/>
              <w:spacing w:before="0" w:after="283"/>
              <w:jc w:val="left"/>
              <w:rPr/>
            </w:pPr>
            <w:r>
              <w:rPr/>
              <w:t> </w:t>
            </w:r>
          </w:p>
        </w:tc>
        <w:tc>
          <w:tcPr>
            <w:tcW w:w="7978" w:type="dxa"/>
            <w:tcBorders/>
            <w:vAlign w:val="bottom"/>
          </w:tcPr>
          <w:p>
            <w:pPr>
              <w:pStyle w:val="TableContents"/>
              <w:bidi w:val="0"/>
              <w:spacing w:before="0" w:after="283"/>
              <w:jc w:val="left"/>
              <w:rPr/>
            </w:pPr>
            <w:r>
              <w:rPr/>
              <w:t>Securities In A Foreign Currency</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rHeight w:val="120" w:hRule="atLeast"/>
        </w:trPr>
        <w:tc>
          <w:tcPr>
            <w:tcW w:w="1607" w:type="dxa"/>
            <w:tcBorders/>
            <w:vAlign w:val="center"/>
          </w:tcPr>
          <w:p>
            <w:pPr>
              <w:pStyle w:val="TableContents"/>
              <w:bidi w:val="0"/>
              <w:spacing w:before="0" w:after="283"/>
              <w:jc w:val="left"/>
              <w:rPr>
                <w:sz w:val="4"/>
                <w:szCs w:val="4"/>
              </w:rPr>
            </w:pPr>
            <w:r>
              <w:rPr>
                <w:sz w:val="4"/>
                <w:szCs w:val="4"/>
              </w:rPr>
            </w:r>
          </w:p>
        </w:tc>
        <w:tc>
          <w:tcPr>
            <w:tcW w:w="807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Section 13.14</w:t>
            </w:r>
          </w:p>
        </w:tc>
        <w:tc>
          <w:tcPr>
            <w:tcW w:w="93" w:type="dxa"/>
            <w:tcBorders/>
            <w:vAlign w:val="bottom"/>
          </w:tcPr>
          <w:p>
            <w:pPr>
              <w:pStyle w:val="TableContents"/>
              <w:bidi w:val="0"/>
              <w:spacing w:before="0" w:after="283"/>
              <w:jc w:val="left"/>
              <w:rPr/>
            </w:pPr>
            <w:r>
              <w:rPr/>
              <w:t> </w:t>
            </w:r>
          </w:p>
        </w:tc>
        <w:tc>
          <w:tcPr>
            <w:tcW w:w="7978" w:type="dxa"/>
            <w:tcBorders/>
            <w:vAlign w:val="bottom"/>
          </w:tcPr>
          <w:p>
            <w:pPr>
              <w:pStyle w:val="TableContents"/>
              <w:bidi w:val="0"/>
              <w:spacing w:before="0" w:after="283"/>
              <w:jc w:val="left"/>
              <w:rPr/>
            </w:pPr>
            <w:r>
              <w:rPr/>
              <w:t>U.S.A. Patriot Act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rHeight w:val="120" w:hRule="atLeast"/>
        </w:trPr>
        <w:tc>
          <w:tcPr>
            <w:tcW w:w="1607" w:type="dxa"/>
            <w:tcBorders/>
            <w:vAlign w:val="center"/>
          </w:tcPr>
          <w:p>
            <w:pPr>
              <w:pStyle w:val="TableContents"/>
              <w:bidi w:val="0"/>
              <w:spacing w:before="0" w:after="283"/>
              <w:jc w:val="left"/>
              <w:rPr>
                <w:sz w:val="4"/>
                <w:szCs w:val="4"/>
              </w:rPr>
            </w:pPr>
            <w:r>
              <w:rPr>
                <w:sz w:val="4"/>
                <w:szCs w:val="4"/>
              </w:rPr>
            </w:r>
          </w:p>
        </w:tc>
        <w:tc>
          <w:tcPr>
            <w:tcW w:w="8071" w:type="dxa"/>
            <w:gridSpan w:val="2"/>
            <w:tcBorders/>
            <w:vAlign w:val="center"/>
          </w:tcPr>
          <w:p>
            <w:pPr>
              <w:pStyle w:val="TableContents"/>
              <w:bidi w:val="0"/>
              <w:spacing w:before="0" w:after="283"/>
              <w:jc w:val="left"/>
              <w:rPr>
                <w:sz w:val="4"/>
                <w:szCs w:val="4"/>
              </w:rPr>
            </w:pPr>
            <w:r>
              <w:rPr>
                <w:sz w:val="4"/>
                <w:szCs w:val="4"/>
              </w:rPr>
            </w:r>
          </w:p>
        </w:tc>
        <w:tc>
          <w:tcPr>
            <w:tcW w:w="527" w:type="dxa"/>
            <w:gridSpan w:val="4"/>
            <w:tcBorders/>
            <w:vAlign w:val="center"/>
          </w:tcPr>
          <w:p>
            <w:pPr>
              <w:pStyle w:val="TableContents"/>
              <w:bidi w:val="0"/>
              <w:spacing w:before="0" w:after="283"/>
              <w:jc w:val="left"/>
              <w:rPr>
                <w:sz w:val="4"/>
                <w:szCs w:val="4"/>
              </w:rPr>
            </w:pPr>
            <w:r>
              <w:rPr>
                <w:sz w:val="4"/>
                <w:szCs w:val="4"/>
              </w:rPr>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Section 13.15</w:t>
            </w:r>
          </w:p>
        </w:tc>
        <w:tc>
          <w:tcPr>
            <w:tcW w:w="93" w:type="dxa"/>
            <w:tcBorders/>
            <w:vAlign w:val="bottom"/>
          </w:tcPr>
          <w:p>
            <w:pPr>
              <w:pStyle w:val="TableContents"/>
              <w:bidi w:val="0"/>
              <w:spacing w:before="0" w:after="283"/>
              <w:jc w:val="left"/>
              <w:rPr/>
            </w:pPr>
            <w:r>
              <w:rPr/>
              <w:t> </w:t>
            </w:r>
          </w:p>
        </w:tc>
        <w:tc>
          <w:tcPr>
            <w:tcW w:w="7978" w:type="dxa"/>
            <w:tcBorders/>
            <w:vAlign w:val="bottom"/>
          </w:tcPr>
          <w:p>
            <w:pPr>
              <w:pStyle w:val="TableContents"/>
              <w:bidi w:val="0"/>
              <w:spacing w:before="0" w:after="283"/>
              <w:jc w:val="left"/>
              <w:rPr/>
            </w:pPr>
            <w:r>
              <w:rPr/>
              <w:t>Compliance Certificates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The Macerich Company </w:t>
      </w:r>
    </w:p>
    <w:p>
      <w:pPr>
        <w:pStyle w:val="TextBody"/>
        <w:bidi w:val="0"/>
        <w:spacing w:before="240" w:after="0"/>
        <w:jc w:val="center"/>
        <w:rPr>
          <w:rFonts w:ascii="Times New Roman" w:hAnsi="Times New Roman"/>
          <w:sz w:val="20"/>
        </w:rPr>
      </w:pPr>
      <w:r>
        <w:rPr>
          <w:rFonts w:ascii="Times New Roman" w:hAnsi="Times New Roman"/>
          <w:sz w:val="20"/>
        </w:rPr>
        <w:t xml:space="preserve">Reconciliation and tie between Trust Indenture Act of 1939 and </w:t>
      </w:r>
    </w:p>
    <w:p>
      <w:pPr>
        <w:pStyle w:val="TextBody"/>
        <w:bidi w:val="0"/>
        <w:spacing w:before="0" w:after="0"/>
        <w:jc w:val="center"/>
        <w:rPr>
          <w:rFonts w:ascii="Times New Roman" w:hAnsi="Times New Roman"/>
          <w:sz w:val="20"/>
        </w:rPr>
      </w:pPr>
      <w:r>
        <w:rPr>
          <w:rFonts w:ascii="Times New Roman" w:hAnsi="Times New Roman"/>
          <w:sz w:val="20"/>
        </w:rPr>
        <w:t xml:space="preserve">Indenture, dated as of    , 20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6"/>
        <w:gridCol w:w="113"/>
        <w:gridCol w:w="7420"/>
        <w:gridCol w:w="132"/>
        <w:gridCol w:w="1514"/>
      </w:tblGrid>
      <w:tr>
        <w:trPr/>
        <w:tc>
          <w:tcPr>
            <w:tcW w:w="1026"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742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 310(a)(1)</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7.9</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(a)(2)</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7.9</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(a)(3)</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Not Applicable</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(a)(4)</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Not Applicable</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(a)(5)</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7.9</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(b)</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7.8</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 311(a)</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7.13</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(b)</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7.13</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 312(a)</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5.1</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(b)</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5.2</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(c)</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5.2</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 313(a)</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5.4</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(b)(1)</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Not Applicable</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(b)(2)</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5.4</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(c)</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5.4</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(d)</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5.4</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 314(a)</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5.3; 13.7</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(b)</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Not Applicable</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(c)(1)</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13.7</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(c)(2)</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13.7</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(c)(3)</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Not Applicable</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(d)</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Not Applicable</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(e)</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13.7</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(f)</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Not Applicable</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 315(a)</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7.1</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(b)</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7.14</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(c)</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7.1</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(d)</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7.1</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(e)</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6.7</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 316(a)</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6.6; 8.4</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(a)(1)(A)</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6.6</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(a)(1)(B)</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6.6</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(a)(2)</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Not Applicable</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(b)</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6.4</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(c)</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8.1</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 317(a)(1)</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6.2</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(a)(2)</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6.2</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(b)</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4.3</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 318(a)</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13.9</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This reconciliation and tie shall not, for any purpose, be deemed to be part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120" w:after="0"/>
        <w:jc w:val="left"/>
        <w:rPr>
          <w:rFonts w:ascii="Times New Roman" w:hAnsi="Times New Roman"/>
          <w:sz w:val="20"/>
        </w:rPr>
      </w:pPr>
      <w:r>
        <w:rPr>
          <w:rFonts w:ascii="Times New Roman" w:hAnsi="Times New Roman"/>
          <w:b/>
          <w:sz w:val="20"/>
        </w:rPr>
        <w:t>INDENTURE</w:t>
      </w:r>
      <w:r>
        <w:rPr>
          <w:rFonts w:ascii="Times New Roman" w:hAnsi="Times New Roman"/>
          <w:sz w:val="20"/>
        </w:rPr>
        <w:t xml:space="preserve">, dated as of     , 20 , among </w:t>
      </w:r>
      <w:r>
        <w:rPr>
          <w:rFonts w:ascii="Times New Roman" w:hAnsi="Times New Roman"/>
          <w:b/>
          <w:sz w:val="20"/>
        </w:rPr>
        <w:t>THE MACERICH COMPANY</w:t>
      </w:r>
      <w:r>
        <w:rPr>
          <w:rFonts w:ascii="Times New Roman" w:hAnsi="Times New Roman"/>
          <w:sz w:val="20"/>
        </w:rPr>
        <w:t xml:space="preserve">, a Maryland corporation (the “Company”), and     , as trustee (the “Trustee”):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to provide the terms and conditions upon which the Securities are to be authenticated, issued and delivered, the Company has duly authorized the execution of this Indenture;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all things necessary to make this Indenture a valid agreement of the Company, in accordance with its terms, have been done. </w:t>
      </w:r>
    </w:p>
    <w:p>
      <w:pPr>
        <w:pStyle w:val="TextBody"/>
        <w:bidi w:val="0"/>
        <w:spacing w:before="240" w:after="0"/>
        <w:jc w:val="left"/>
        <w:rPr>
          <w:rFonts w:ascii="Times New Roman" w:hAnsi="Times New Roman"/>
          <w:sz w:val="20"/>
        </w:rPr>
      </w:pPr>
      <w:r>
        <w:rPr>
          <w:rFonts w:ascii="Times New Roman" w:hAnsi="Times New Roman"/>
          <w:b/>
          <w:sz w:val="20"/>
        </w:rPr>
        <w:t>NOW</w:t>
      </w:r>
      <w:r>
        <w:rPr>
          <w:rFonts w:ascii="Times New Roman" w:hAnsi="Times New Roman"/>
          <w:sz w:val="20"/>
        </w:rPr>
        <w:t xml:space="preserve">, </w:t>
      </w:r>
      <w:r>
        <w:rPr>
          <w:rFonts w:ascii="Times New Roman" w:hAnsi="Times New Roman"/>
          <w:b/>
          <w:sz w:val="20"/>
        </w:rPr>
        <w:t>THEREFORE</w:t>
      </w:r>
      <w:r>
        <w:rPr>
          <w:rFonts w:ascii="Times New Roman" w:hAnsi="Times New Roman"/>
          <w:sz w:val="20"/>
        </w:rPr>
        <w:t xml:space="preserve">, in consideration of the premises and the purchase of the Securities by the holders thereof, it is mutually covenanted and agreed as follows for the equal and ratable benefit of the holders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12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 Of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 </w:t>
      </w:r>
    </w:p>
    <w:p>
      <w:pPr>
        <w:pStyle w:val="TextBody"/>
        <w:bidi w:val="0"/>
        <w:spacing w:before="240" w:after="0"/>
        <w:jc w:val="left"/>
        <w:rPr/>
      </w:pPr>
      <w:r>
        <w:rPr/>
        <w:t>“</w:t>
      </w:r>
      <w:r>
        <w:rPr>
          <w:rFonts w:ascii="Times New Roman" w:hAnsi="Times New Roman"/>
          <w:sz w:val="20"/>
          <w:u w:val="single"/>
        </w:rPr>
        <w:t>Authenticating Agent</w:t>
      </w:r>
      <w:r>
        <w:rPr>
          <w:rFonts w:ascii="Times New Roman" w:hAnsi="Times New Roman"/>
          <w:sz w:val="20"/>
        </w:rPr>
        <w:t xml:space="preserve">” means an authenticating agent with respect to all or any of the series of Securities appointed by the Trustee pursuant to Section 2.10. </w:t>
      </w:r>
    </w:p>
    <w:p>
      <w:pPr>
        <w:pStyle w:val="TextBody"/>
        <w:bidi w:val="0"/>
        <w:spacing w:before="240" w:after="0"/>
        <w:jc w:val="left"/>
        <w:rPr/>
      </w:pPr>
      <w:r>
        <w:rPr/>
        <w:t>“</w:t>
      </w:r>
      <w:r>
        <w:rPr>
          <w:rFonts w:ascii="Times New Roman" w:hAnsi="Times New Roman"/>
          <w:sz w:val="20"/>
          <w:u w:val="single"/>
        </w:rPr>
        <w:t>Authorized Officer</w:t>
      </w:r>
      <w:r>
        <w:rPr>
          <w:rFonts w:ascii="Times New Roman" w:hAnsi="Times New Roman"/>
          <w:sz w:val="20"/>
        </w:rPr>
        <w:t xml:space="preserve">,” when used with respect to the Company, means the [Chairman of the Board, President, Executive Vice Presidents, Chief Financial Officer or General Counsel and Secretary] of the Company. </w:t>
      </w:r>
    </w:p>
    <w:p>
      <w:pPr>
        <w:pStyle w:val="TextBody"/>
        <w:bidi w:val="0"/>
        <w:spacing w:before="240" w:after="0"/>
        <w:jc w:val="left"/>
        <w:rPr/>
      </w:pPr>
      <w:r>
        <w:rPr/>
        <w:t>“</w:t>
      </w:r>
      <w:r>
        <w:rPr>
          <w:rFonts w:ascii="Times New Roman" w:hAnsi="Times New Roman"/>
          <w:sz w:val="20"/>
          <w:u w:val="single"/>
        </w:rPr>
        <w:t>Bankruptcy Law</w:t>
      </w:r>
      <w:r>
        <w:rPr>
          <w:rFonts w:ascii="Times New Roman" w:hAnsi="Times New Roman"/>
          <w:sz w:val="20"/>
        </w:rPr>
        <w:t xml:space="preserve">” means Title 11, U.S. Code, or any similar federal or state law for the relief of debtors. </w:t>
      </w:r>
    </w:p>
    <w:p>
      <w:pPr>
        <w:pStyle w:val="TextBody"/>
        <w:bidi w:val="0"/>
        <w:spacing w:before="240" w:after="0"/>
        <w:jc w:val="left"/>
        <w:rPr/>
      </w:pPr>
      <w:r>
        <w:rPr/>
        <w:t>“</w:t>
      </w:r>
      <w:r>
        <w:rPr>
          <w:rFonts w:ascii="Times New Roman" w:hAnsi="Times New Roman"/>
          <w:sz w:val="20"/>
          <w:u w:val="single"/>
        </w:rPr>
        <w:t>Board of Directors</w:t>
      </w:r>
      <w:r>
        <w:rPr>
          <w:rFonts w:ascii="Times New Roman" w:hAnsi="Times New Roman"/>
          <w:sz w:val="20"/>
        </w:rPr>
        <w:t xml:space="preserve">” means the Board of Directors of the Company or any duly authorized committee of such Board. </w:t>
      </w:r>
    </w:p>
    <w:p>
      <w:pPr>
        <w:pStyle w:val="TextBody"/>
        <w:bidi w:val="0"/>
        <w:spacing w:before="240" w:after="0"/>
        <w:jc w:val="left"/>
        <w:rPr/>
      </w:pPr>
      <w:r>
        <w:rPr/>
        <w:t>“</w:t>
      </w:r>
      <w:r>
        <w:rPr>
          <w:rFonts w:ascii="Times New Roman" w:hAnsi="Times New Roman"/>
          <w:sz w:val="20"/>
          <w:u w:val="single"/>
        </w:rPr>
        <w:t>Board Resolution</w:t>
      </w:r>
      <w:r>
        <w:rPr>
          <w:rFonts w:ascii="Times New Roman" w:hAnsi="Times New Roman"/>
          <w:sz w:val="20"/>
        </w:rPr>
        <w:t xml:space="preserve">” means a copy of a resolution certified by the Secretary or an Assistant Secretary of the Company to have been duly adopted by the Board of Directors or pursuant to authorization by the Board of Directors and to be in full force and effect on the date of such certification.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with respect to any series of Securities, any day other than a day on which federal or state banking institutions in the Borough of Manhattan, the City and State of New York, are authorized or obligated by law, executive order or regulation to close.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Certificate</w:t>
      </w:r>
      <w:r>
        <w:rPr>
          <w:rFonts w:ascii="Times New Roman" w:hAnsi="Times New Roman"/>
          <w:sz w:val="20"/>
        </w:rPr>
        <w:t xml:space="preserve">” means a certificate signed by the chairman of the Board of Directors, any principal executive officer, any chief executive officer, any president, any senior vice president, any vice president, any principal financial officer or any principal accounting officer, any treasurer or any assistant treasurer, any controller or any assistant controller, any secretary or any assistant secretary of the Company. The Certificate need not comply with the provisions of Section 13.7.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means THE MACERICH COMPANY, a corporation duly organized and existing under the laws of the State of Maryland, and, subject to the provisions of Article X, shall also include its successors and assigns. </w:t>
      </w:r>
    </w:p>
    <w:p>
      <w:pPr>
        <w:pStyle w:val="TextBody"/>
        <w:bidi w:val="0"/>
        <w:spacing w:before="240" w:after="0"/>
        <w:jc w:val="left"/>
        <w:rPr/>
      </w:pPr>
      <w:r>
        <w:rPr/>
        <w:t>“</w:t>
      </w:r>
      <w:r>
        <w:rPr>
          <w:rFonts w:ascii="Times New Roman" w:hAnsi="Times New Roman"/>
          <w:sz w:val="20"/>
          <w:u w:val="single"/>
        </w:rPr>
        <w:t>Company Request</w:t>
      </w:r>
      <w:r>
        <w:rPr>
          <w:rFonts w:ascii="Times New Roman" w:hAnsi="Times New Roman"/>
          <w:sz w:val="20"/>
        </w:rPr>
        <w:t xml:space="preserve">” and “Company Order” mean, respectively, a written request or order signed in the name of the Company by one or more Authorized Officers of the Company, and delivered to the Trustee. </w:t>
      </w:r>
    </w:p>
    <w:p>
      <w:pPr>
        <w:pStyle w:val="TextBody"/>
        <w:bidi w:val="0"/>
        <w:spacing w:before="240" w:after="0"/>
        <w:jc w:val="left"/>
        <w:rPr/>
      </w:pPr>
      <w:r>
        <w:rPr/>
        <w:t>“</w:t>
      </w:r>
      <w:r>
        <w:rPr>
          <w:rFonts w:ascii="Times New Roman" w:hAnsi="Times New Roman"/>
          <w:sz w:val="20"/>
          <w:u w:val="single"/>
        </w:rPr>
        <w:t>Corporate Trust Office</w:t>
      </w:r>
      <w:r>
        <w:rPr>
          <w:rFonts w:ascii="Times New Roman" w:hAnsi="Times New Roman"/>
          <w:sz w:val="20"/>
        </w:rPr>
        <w:t xml:space="preserve">” means the office of the Trustee at which, at any particular time its corporate trust business related to this Indenture shall be principally administered, which office at the date hereof is located at       ,     ; Attention:        , or such other address as the Trustee may designate from time to time by notice to the holders and the Company, or the corporate trust office of any successor Trustee at which this Indenture shall be administered (or such other address as a successor Trustee may designate from time to time by notice to the holders of the Company). </w:t>
      </w:r>
    </w:p>
    <w:p>
      <w:pPr>
        <w:pStyle w:val="TextBody"/>
        <w:bidi w:val="0"/>
        <w:spacing w:before="240" w:after="0"/>
        <w:jc w:val="left"/>
        <w:rPr/>
      </w:pPr>
      <w:r>
        <w:rPr/>
        <w:t>“</w:t>
      </w:r>
      <w:r>
        <w:rPr>
          <w:rFonts w:ascii="Times New Roman" w:hAnsi="Times New Roman"/>
          <w:sz w:val="20"/>
          <w:u w:val="single"/>
        </w:rPr>
        <w:t>Custodian</w:t>
      </w:r>
      <w:r>
        <w:rPr>
          <w:rFonts w:ascii="Times New Roman" w:hAnsi="Times New Roman"/>
          <w:sz w:val="20"/>
        </w:rPr>
        <w:t xml:space="preserve">” means any receiver, trustee, assignee, liquidator or similar official under any Bankruptcy Law. </w:t>
      </w:r>
    </w:p>
    <w:p>
      <w:pPr>
        <w:pStyle w:val="TextBody"/>
        <w:bidi w:val="0"/>
        <w:spacing w:before="240" w:after="0"/>
        <w:jc w:val="left"/>
        <w:rPr/>
      </w:pPr>
      <w:r>
        <w:rPr/>
        <w:t>“</w:t>
      </w:r>
      <w:r>
        <w:rPr>
          <w:rFonts w:ascii="Times New Roman" w:hAnsi="Times New Roman"/>
          <w:sz w:val="20"/>
          <w:u w:val="single"/>
        </w:rPr>
        <w:t>Default</w:t>
      </w:r>
      <w:r>
        <w:rPr>
          <w:rFonts w:ascii="Times New Roman" w:hAnsi="Times New Roman"/>
          <w:sz w:val="20"/>
        </w:rPr>
        <w:t xml:space="preserve">” means any event, act or condition that with notice or lapse of time, or both, would constitute an Event of Default. </w:t>
      </w:r>
    </w:p>
    <w:p>
      <w:pPr>
        <w:pStyle w:val="TextBody"/>
        <w:bidi w:val="0"/>
        <w:spacing w:before="240" w:after="0"/>
        <w:jc w:val="left"/>
        <w:rPr/>
      </w:pPr>
      <w:r>
        <w:rPr/>
        <w:t>“</w:t>
      </w:r>
      <w:r>
        <w:rPr>
          <w:rFonts w:ascii="Times New Roman" w:hAnsi="Times New Roman"/>
          <w:sz w:val="20"/>
          <w:u w:val="single"/>
        </w:rPr>
        <w:t>Depositary</w:t>
      </w:r>
      <w:r>
        <w:rPr>
          <w:rFonts w:ascii="Times New Roman" w:hAnsi="Times New Roman"/>
          <w:sz w:val="20"/>
        </w:rPr>
        <w:t xml:space="preserve">” means, with respect to Securities of any series for which the Company shall determine that such Securities will be issued in whole or in part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2.1 or 2.11.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means, with respect to Securities of a particular series, any event specified in Section 6.1, continued for the period of time, if any, therein designated.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sz w:val="20"/>
          <w:u w:val="single"/>
        </w:rPr>
        <w:t>Global Security</w:t>
      </w:r>
      <w:r>
        <w:rPr>
          <w:rFonts w:ascii="Times New Roman" w:hAnsi="Times New Roman"/>
          <w:sz w:val="20"/>
        </w:rPr>
        <w:t xml:space="preserve">” means, with respect to any series of Securities, a Security executed by the Company and delivered by the Trustee to the Depositary or pursuant to the Depositary’s instruction, all in accordance with the Indenture, which shall be registered in the name of the Depositary or its nominee. </w:t>
      </w:r>
    </w:p>
    <w:p>
      <w:pPr>
        <w:pStyle w:val="TextBody"/>
        <w:bidi w:val="0"/>
        <w:spacing w:before="240" w:after="0"/>
        <w:jc w:val="left"/>
        <w:rPr/>
      </w:pPr>
      <w:r>
        <w:rPr/>
        <w:t>“</w:t>
      </w:r>
      <w:r>
        <w:rPr>
          <w:rFonts w:ascii="Times New Roman" w:hAnsi="Times New Roman"/>
          <w:sz w:val="20"/>
          <w:u w:val="single"/>
        </w:rPr>
        <w:t>Governmental Obligations</w:t>
      </w:r>
      <w:r>
        <w:rPr>
          <w:rFonts w:ascii="Times New Roman" w:hAnsi="Times New Roman"/>
          <w:sz w:val="20"/>
        </w:rPr>
        <w:t xml:space="preserve">”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 </w:t>
      </w:r>
    </w:p>
    <w:p>
      <w:pPr>
        <w:pStyle w:val="TextBody"/>
        <w:bidi w:val="0"/>
        <w:spacing w:before="240" w:after="0"/>
        <w:jc w:val="left"/>
        <w:rPr/>
      </w:pPr>
      <w:r>
        <w:rPr/>
        <w:t>“</w:t>
      </w:r>
      <w:r>
        <w:rPr>
          <w:rFonts w:ascii="Times New Roman" w:hAnsi="Times New Roman"/>
          <w:sz w:val="20"/>
          <w:u w:val="single"/>
        </w:rPr>
        <w:t>herein</w:t>
      </w:r>
      <w:r>
        <w:rPr>
          <w:rFonts w:ascii="Times New Roman" w:hAnsi="Times New Roman"/>
          <w:sz w:val="20"/>
        </w:rPr>
        <w:t>,” “</w:t>
      </w:r>
      <w:r>
        <w:rPr>
          <w:rFonts w:ascii="Times New Roman" w:hAnsi="Times New Roman"/>
          <w:sz w:val="20"/>
          <w:u w:val="single"/>
        </w:rPr>
        <w:t>hereof</w:t>
      </w:r>
      <w:r>
        <w:rPr>
          <w:rFonts w:ascii="Times New Roman" w:hAnsi="Times New Roman"/>
          <w:sz w:val="20"/>
        </w:rPr>
        <w:t>” and “</w:t>
      </w:r>
      <w:r>
        <w:rPr>
          <w:rFonts w:ascii="Times New Roman" w:hAnsi="Times New Roman"/>
          <w:sz w:val="20"/>
          <w:u w:val="single"/>
        </w:rPr>
        <w:t>hereunder</w:t>
      </w:r>
      <w:r>
        <w:rPr>
          <w:rFonts w:ascii="Times New Roman" w:hAnsi="Times New Roman"/>
          <w:sz w:val="20"/>
        </w:rPr>
        <w:t xml:space="preserve">,” and other words of similar import, refer to this Indenture as a whole and not to any particular Article, Section or other subdivision. </w:t>
      </w:r>
    </w:p>
    <w:p>
      <w:pPr>
        <w:pStyle w:val="TextBody"/>
        <w:bidi w:val="0"/>
        <w:spacing w:before="240" w:after="0"/>
        <w:jc w:val="left"/>
        <w:rPr/>
      </w:pPr>
      <w:r>
        <w:rPr/>
        <w:t>“</w:t>
      </w:r>
      <w:r>
        <w:rPr>
          <w:rFonts w:ascii="Times New Roman" w:hAnsi="Times New Roman"/>
          <w:sz w:val="20"/>
          <w:u w:val="single"/>
        </w:rPr>
        <w:t>Indenture</w:t>
      </w:r>
      <w:r>
        <w:rPr>
          <w:rFonts w:ascii="Times New Roman" w:hAnsi="Times New Roman"/>
          <w:sz w:val="20"/>
        </w:rPr>
        <w:t xml:space="preserve">” means this instrument as originally executed or as it may from time to time be supplemented or amended by one or more indentures supplemental hereto entered into in accordance with the terms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Interest Payment Date</w:t>
      </w:r>
      <w:r>
        <w:rPr>
          <w:rFonts w:ascii="Times New Roman" w:hAnsi="Times New Roman"/>
          <w:sz w:val="20"/>
        </w:rPr>
        <w:t xml:space="preserv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 </w:t>
      </w:r>
    </w:p>
    <w:p>
      <w:pPr>
        <w:pStyle w:val="TextBody"/>
        <w:bidi w:val="0"/>
        <w:spacing w:before="240" w:after="0"/>
        <w:jc w:val="left"/>
        <w:rPr/>
      </w:pPr>
      <w:r>
        <w:rPr/>
        <w:t>“</w:t>
      </w:r>
      <w:r>
        <w:rPr>
          <w:rFonts w:ascii="Times New Roman" w:hAnsi="Times New Roman"/>
          <w:sz w:val="20"/>
          <w:u w:val="single"/>
        </w:rPr>
        <w:t>Officers’ Certificate</w:t>
      </w:r>
      <w:r>
        <w:rPr>
          <w:rFonts w:ascii="Times New Roman" w:hAnsi="Times New Roman"/>
          <w:sz w:val="20"/>
        </w:rPr>
        <w:t xml:space="preserve">” means a certificate signed by a chief executive officer, a president, a senior vice president or a vice president and by the chief financial officer or the treasurer or an assistant treasurer or the controller or an assistant controller or the secretary or an assistant secretary of the Company that is delivered to the Trustee in accordance with the terms hereof. Each such certificate shall include the statements provided for in Section 13.7, if and to the extent required by the provisions thereof. </w:t>
      </w:r>
    </w:p>
    <w:p>
      <w:pPr>
        <w:pStyle w:val="TextBody"/>
        <w:bidi w:val="0"/>
        <w:spacing w:before="240" w:after="0"/>
        <w:jc w:val="left"/>
        <w:rPr/>
      </w:pPr>
      <w:r>
        <w:rPr/>
        <w:t>“</w:t>
      </w:r>
      <w:r>
        <w:rPr>
          <w:rFonts w:ascii="Times New Roman" w:hAnsi="Times New Roman"/>
          <w:sz w:val="20"/>
          <w:u w:val="single"/>
        </w:rPr>
        <w:t>Opinion of Counsel</w:t>
      </w:r>
      <w:r>
        <w:rPr>
          <w:rFonts w:ascii="Times New Roman" w:hAnsi="Times New Roman"/>
          <w:sz w:val="20"/>
        </w:rPr>
        <w:t xml:space="preserve">” means an opinion in writing subject to customary exceptions of legal counsel, who may be an employee of or counsel for the Company, that is delivered to the Trustee in accordance with the terms hereof. Each such opinion shall include the statements provided for in Section 13.7, if and to the extent required by the provisions thereof. </w:t>
      </w:r>
    </w:p>
    <w:p>
      <w:pPr>
        <w:pStyle w:val="TextBody"/>
        <w:bidi w:val="0"/>
        <w:spacing w:before="240" w:after="0"/>
        <w:jc w:val="left"/>
        <w:rPr/>
      </w:pPr>
      <w:r>
        <w:rPr/>
        <w:t>“</w:t>
      </w:r>
      <w:r>
        <w:rPr>
          <w:rFonts w:ascii="Times New Roman" w:hAnsi="Times New Roman"/>
          <w:sz w:val="20"/>
          <w:u w:val="single"/>
        </w:rPr>
        <w:t>Outstanding</w:t>
      </w:r>
      <w:r>
        <w:rPr>
          <w:rFonts w:ascii="Times New Roman" w:hAnsi="Times New Roman"/>
          <w:sz w:val="20"/>
        </w:rPr>
        <w:t xml:space="preserve">,” when used with reference to Securities of any series, means, subject to the provisions of Section 8.4,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2.7.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individual, corporation, partnership, joint venture, joint-stock company, limited liability company, unincorporated organization or government or any agency or political subdivision thereof. </w:t>
      </w:r>
    </w:p>
    <w:p>
      <w:pPr>
        <w:pStyle w:val="TextBody"/>
        <w:bidi w:val="0"/>
        <w:spacing w:before="240" w:after="0"/>
        <w:jc w:val="left"/>
        <w:rPr/>
      </w:pPr>
      <w:r>
        <w:rPr/>
        <w:t>“</w:t>
      </w:r>
      <w:r>
        <w:rPr>
          <w:rFonts w:ascii="Times New Roman" w:hAnsi="Times New Roman"/>
          <w:sz w:val="20"/>
          <w:u w:val="single"/>
        </w:rPr>
        <w:t>Predecessor Security</w:t>
      </w:r>
      <w:r>
        <w:rPr>
          <w:rFonts w:ascii="Times New Roman" w:hAnsi="Times New Roman"/>
          <w:sz w:val="20"/>
        </w:rPr>
        <w:t xml:space="preserve">” of any particular Security means every previous Security evidencing all or a portion of the same debt as that evidenced by such particular Security; and, for the purposes of this definition, any Security authenticated and delivered under Section 2.7 in lieu of a lost, destroyed or stolen Security shall be deemed to evidence the same debt as the lost, destroyed or stolen Security. </w:t>
      </w:r>
    </w:p>
    <w:p>
      <w:pPr>
        <w:pStyle w:val="TextBody"/>
        <w:bidi w:val="0"/>
        <w:spacing w:before="240" w:after="0"/>
        <w:jc w:val="left"/>
        <w:rPr/>
      </w:pPr>
      <w:r>
        <w:rPr/>
        <w:t>“</w:t>
      </w:r>
      <w:r>
        <w:rPr>
          <w:rFonts w:ascii="Times New Roman" w:hAnsi="Times New Roman"/>
          <w:sz w:val="20"/>
          <w:u w:val="single"/>
        </w:rPr>
        <w:t>Redemption Date</w:t>
      </w:r>
      <w:r>
        <w:rPr>
          <w:rFonts w:ascii="Times New Roman" w:hAnsi="Times New Roman"/>
          <w:sz w:val="20"/>
        </w:rPr>
        <w:t xml:space="preserve">,” when used with respect to any Security to be redeemed, means the date fixed for such redemption by or pursuant to this Indenture. </w:t>
      </w:r>
    </w:p>
    <w:p>
      <w:pPr>
        <w:pStyle w:val="TextBody"/>
        <w:bidi w:val="0"/>
        <w:spacing w:before="240" w:after="0"/>
        <w:jc w:val="left"/>
        <w:rPr/>
      </w:pPr>
      <w:r>
        <w:rPr/>
        <w:t>“</w:t>
      </w:r>
      <w:r>
        <w:rPr>
          <w:rFonts w:ascii="Times New Roman" w:hAnsi="Times New Roman"/>
          <w:sz w:val="20"/>
          <w:u w:val="single"/>
        </w:rPr>
        <w:t>Responsible Officer</w:t>
      </w:r>
      <w:r>
        <w:rPr>
          <w:rFonts w:ascii="Times New Roman" w:hAnsi="Times New Roman"/>
          <w:sz w:val="20"/>
        </w:rPr>
        <w:t xml:space="preserve">” when used with respect to the Trustee means any officer in the Corporate Trust Office of the Trustee having direct responsibility for administration of this Indenture, or to whom any corporate trust matter is referred because of his or her knowledge of and familiarity with the particular subject. </w:t>
      </w:r>
    </w:p>
    <w:p>
      <w:pPr>
        <w:pStyle w:val="TextBody"/>
        <w:bidi w:val="0"/>
        <w:spacing w:before="240" w:after="0"/>
        <w:jc w:val="left"/>
        <w:rPr/>
      </w:pPr>
      <w:r>
        <w:rPr/>
        <w:t>“</w:t>
      </w:r>
      <w:r>
        <w:rPr>
          <w:rFonts w:ascii="Times New Roman" w:hAnsi="Times New Roman"/>
          <w:sz w:val="20"/>
          <w:u w:val="single"/>
        </w:rPr>
        <w:t>Securities</w:t>
      </w:r>
      <w:r>
        <w:rPr>
          <w:rFonts w:ascii="Times New Roman" w:hAnsi="Times New Roman"/>
          <w:sz w:val="20"/>
        </w:rPr>
        <w:t xml:space="preserve">” means the debentures, notes or other debt instruments of the Company authenticated and delivered under this Indenture.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sz w:val="20"/>
          <w:u w:val="single"/>
        </w:rPr>
        <w:t>Securityholder</w:t>
      </w:r>
      <w:r>
        <w:rPr>
          <w:rFonts w:ascii="Times New Roman" w:hAnsi="Times New Roman"/>
          <w:sz w:val="20"/>
        </w:rPr>
        <w:t>,” “</w:t>
      </w:r>
      <w:r>
        <w:rPr>
          <w:rFonts w:ascii="Times New Roman" w:hAnsi="Times New Roman"/>
          <w:sz w:val="20"/>
          <w:u w:val="single"/>
        </w:rPr>
        <w:t>holder</w:t>
      </w:r>
      <w:r>
        <w:rPr>
          <w:rFonts w:ascii="Times New Roman" w:hAnsi="Times New Roman"/>
          <w:sz w:val="20"/>
        </w:rPr>
        <w:t>,” “</w:t>
      </w:r>
      <w:r>
        <w:rPr>
          <w:rFonts w:ascii="Times New Roman" w:hAnsi="Times New Roman"/>
          <w:sz w:val="20"/>
          <w:u w:val="single"/>
        </w:rPr>
        <w:t>registered holder</w:t>
      </w:r>
      <w:r>
        <w:rPr>
          <w:rFonts w:ascii="Times New Roman" w:hAnsi="Times New Roman"/>
          <w:sz w:val="20"/>
        </w:rPr>
        <w:t xml:space="preserve">,” or other similar term, means the Person or Persons in whose name or names a particular Security shall be registered on the books of the Company kept for that purpose in accordance with the terms of this Indenture. </w:t>
      </w:r>
    </w:p>
    <w:p>
      <w:pPr>
        <w:pStyle w:val="TextBody"/>
        <w:bidi w:val="0"/>
        <w:spacing w:before="240" w:after="0"/>
        <w:jc w:val="left"/>
        <w:rPr/>
      </w:pPr>
      <w:r>
        <w:rPr/>
        <w:t>“</w:t>
      </w:r>
      <w:r>
        <w:rPr>
          <w:rFonts w:ascii="Times New Roman" w:hAnsi="Times New Roman"/>
          <w:sz w:val="20"/>
          <w:u w:val="single"/>
        </w:rPr>
        <w:t>Stated Maturity</w:t>
      </w:r>
      <w:r>
        <w:rPr>
          <w:rFonts w:ascii="Times New Roman" w:hAnsi="Times New Roman"/>
          <w:sz w:val="20"/>
        </w:rPr>
        <w:t xml:space="preserve">,”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 any corporation at least a majority of whose outstanding Voting Stock shall at the time be owned, directly or indirectly, by such Person or by one or more of its Subsidiaries or by such Person and one or more of its Subsidiaries, (b) any general partnership, limited liability company, joint venture or similar entity, at least a majority of whose outstanding partnership or similar interests shall at the time be owned by such Person, or by one or more of its Subsidiaries, or by such Person and one or more of its Subsidiaries and (c) any limited partnership of which such Person or any of its Subsidiaries is a general partner. </w:t>
      </w:r>
    </w:p>
    <w:p>
      <w:pPr>
        <w:pStyle w:val="TextBody"/>
        <w:bidi w:val="0"/>
        <w:spacing w:before="240" w:after="0"/>
        <w:jc w:val="left"/>
        <w:rPr/>
      </w:pPr>
      <w:r>
        <w:rPr/>
        <w:t>“</w:t>
      </w:r>
      <w:r>
        <w:rPr>
          <w:rFonts w:ascii="Times New Roman" w:hAnsi="Times New Roman"/>
          <w:sz w:val="20"/>
          <w:u w:val="single"/>
        </w:rPr>
        <w:t>Trustee</w:t>
      </w:r>
      <w:r>
        <w:rPr>
          <w:rFonts w:ascii="Times New Roman" w:hAnsi="Times New Roman"/>
          <w:sz w:val="20"/>
        </w:rPr>
        <w:t xml:space="preserve">” means      , and, subject to the provisions of Article VII,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 </w:t>
      </w:r>
    </w:p>
    <w:p>
      <w:pPr>
        <w:pStyle w:val="TextBody"/>
        <w:bidi w:val="0"/>
        <w:spacing w:before="240" w:after="0"/>
        <w:jc w:val="left"/>
        <w:rPr/>
      </w:pPr>
      <w:r>
        <w:rPr/>
        <w:t>“</w:t>
      </w:r>
      <w:r>
        <w:rPr>
          <w:rFonts w:ascii="Times New Roman" w:hAnsi="Times New Roman"/>
          <w:sz w:val="20"/>
          <w:u w:val="single"/>
        </w:rPr>
        <w:t>Trust Indenture Act</w:t>
      </w:r>
      <w:r>
        <w:rPr>
          <w:rFonts w:ascii="Times New Roman" w:hAnsi="Times New Roman"/>
          <w:sz w:val="20"/>
        </w:rPr>
        <w:t xml:space="preserve">” means the Trust Indenture Act of 1939, as amended. </w:t>
      </w:r>
    </w:p>
    <w:p>
      <w:pPr>
        <w:pStyle w:val="TextBody"/>
        <w:bidi w:val="0"/>
        <w:spacing w:before="240" w:after="0"/>
        <w:jc w:val="left"/>
        <w:rPr/>
      </w:pPr>
      <w:r>
        <w:rPr/>
        <w:t>“</w:t>
      </w:r>
      <w:r>
        <w:rPr>
          <w:rFonts w:ascii="Times New Roman" w:hAnsi="Times New Roman"/>
          <w:sz w:val="20"/>
          <w:u w:val="single"/>
        </w:rPr>
        <w:t>Voting Stock</w:t>
      </w:r>
      <w:r>
        <w:rPr>
          <w:rFonts w:ascii="Times New Roman" w:hAnsi="Times New Roman"/>
          <w:sz w:val="20"/>
        </w:rPr>
        <w:t xml:space="preserve">,”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Issue, Description, Terms, Execution, Registration </w:t>
      </w:r>
    </w:p>
    <w:p>
      <w:pPr>
        <w:pStyle w:val="TextBody"/>
        <w:bidi w:val="0"/>
        <w:spacing w:before="0" w:after="0"/>
        <w:jc w:val="center"/>
        <w:rPr>
          <w:rFonts w:ascii="Times New Roman" w:hAnsi="Times New Roman"/>
          <w:b/>
          <w:sz w:val="20"/>
        </w:rPr>
      </w:pPr>
      <w:r>
        <w:rPr>
          <w:rFonts w:ascii="Times New Roman" w:hAnsi="Times New Roman"/>
          <w:b/>
          <w:sz w:val="20"/>
        </w:rPr>
        <w:t xml:space="preserve">And Exchange Of Securities </w:t>
      </w:r>
    </w:p>
    <w:p>
      <w:pPr>
        <w:pStyle w:val="TextBody"/>
        <w:bidi w:val="0"/>
        <w:spacing w:before="12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Designation And Terms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 </w:t>
      </w:r>
    </w:p>
    <w:p>
      <w:pPr>
        <w:pStyle w:val="TextBody"/>
        <w:bidi w:val="0"/>
        <w:spacing w:before="240" w:after="0"/>
        <w:jc w:val="left"/>
        <w:rPr>
          <w:rFonts w:ascii="Times New Roman" w:hAnsi="Times New Roman"/>
          <w:sz w:val="20"/>
        </w:rPr>
      </w:pPr>
      <w:r>
        <w:rPr>
          <w:rFonts w:ascii="Times New Roman" w:hAnsi="Times New Roman"/>
          <w:sz w:val="20"/>
        </w:rPr>
        <w:t xml:space="preserve">(a) the title of the Securities of the series (which shall distinguish the Securities of that series from all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(b) the price or prices (expressed as a percentage of the principal amount thereof) at which the Securities of the series will be issued; </w:t>
      </w:r>
    </w:p>
    <w:p>
      <w:pPr>
        <w:pStyle w:val="TextBody"/>
        <w:bidi w:val="0"/>
        <w:spacing w:before="240" w:after="0"/>
        <w:jc w:val="left"/>
        <w:rPr>
          <w:rFonts w:ascii="Times New Roman" w:hAnsi="Times New Roman"/>
          <w:sz w:val="20"/>
        </w:rPr>
      </w:pPr>
      <w:r>
        <w:rPr>
          <w:rFonts w:ascii="Times New Roman" w:hAnsi="Times New Roman"/>
          <w:sz w:val="20"/>
        </w:rPr>
        <w:t xml:space="preserve">(c)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(d) the date or dates on which the principal of the Securities of the series is payable, any original issue discount that may apply to the Securities of that series upon their issuance, the principal amount due at maturity, and the place(s) of payment; </w:t>
      </w:r>
    </w:p>
    <w:p>
      <w:pPr>
        <w:pStyle w:val="TextBody"/>
        <w:bidi w:val="0"/>
        <w:spacing w:before="240" w:after="0"/>
        <w:jc w:val="left"/>
        <w:rPr>
          <w:rFonts w:ascii="Times New Roman" w:hAnsi="Times New Roman"/>
          <w:sz w:val="20"/>
        </w:rPr>
      </w:pPr>
      <w:r>
        <w:rPr>
          <w:rFonts w:ascii="Times New Roman" w:hAnsi="Times New Roman"/>
          <w:sz w:val="20"/>
        </w:rPr>
        <w:t xml:space="preserve">(e) the rate or rates at which the Securities of the series shall bear interest or the manner of calculation of such rate or rates, if any; </w:t>
      </w:r>
    </w:p>
    <w:p>
      <w:pPr>
        <w:pStyle w:val="TextBody"/>
        <w:bidi w:val="0"/>
        <w:spacing w:before="240" w:after="0"/>
        <w:jc w:val="left"/>
        <w:rPr>
          <w:rFonts w:ascii="Times New Roman" w:hAnsi="Times New Roman"/>
          <w:sz w:val="20"/>
        </w:rPr>
      </w:pPr>
      <w:r>
        <w:rPr>
          <w:rFonts w:ascii="Times New Roman" w:hAnsi="Times New Roman"/>
          <w:sz w:val="20"/>
        </w:rPr>
        <w:t xml:space="preserve">(f) 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right, if any, to extend the interest payment periods and the duration of such extension; </w:t>
      </w:r>
    </w:p>
    <w:p>
      <w:pPr>
        <w:pStyle w:val="TextBody"/>
        <w:bidi w:val="0"/>
        <w:spacing w:before="240" w:after="0"/>
        <w:jc w:val="left"/>
        <w:rPr>
          <w:rFonts w:ascii="Times New Roman" w:hAnsi="Times New Roman"/>
          <w:sz w:val="20"/>
        </w:rPr>
      </w:pPr>
      <w:r>
        <w:rPr>
          <w:rFonts w:ascii="Times New Roman" w:hAnsi="Times New Roman"/>
          <w:sz w:val="20"/>
        </w:rPr>
        <w:t xml:space="preserve">(h) the period or periods within which, the price or prices at which and the terms and conditions upon which Securities of the series may be redeemed, in whole or in part, at the option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 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 </w:t>
      </w:r>
    </w:p>
    <w:p>
      <w:pPr>
        <w:pStyle w:val="TextBody"/>
        <w:bidi w:val="0"/>
        <w:spacing w:before="240" w:after="0"/>
        <w:jc w:val="left"/>
        <w:rPr>
          <w:rFonts w:ascii="Times New Roman" w:hAnsi="Times New Roman"/>
          <w:sz w:val="20"/>
        </w:rPr>
      </w:pPr>
      <w:r>
        <w:rPr>
          <w:rFonts w:ascii="Times New Roman" w:hAnsi="Times New Roman"/>
          <w:sz w:val="20"/>
        </w:rPr>
        <w:t xml:space="preserve">(j) the dates, if any, on which and the price or prices at which the Securities of the series will be repurchased by the Company at the option of the holders thereof and other detailed terms and provisions of such repurchase obligations; </w:t>
      </w:r>
    </w:p>
    <w:p>
      <w:pPr>
        <w:pStyle w:val="TextBody"/>
        <w:bidi w:val="0"/>
        <w:spacing w:before="240" w:after="0"/>
        <w:jc w:val="left"/>
        <w:rPr>
          <w:rFonts w:ascii="Times New Roman" w:hAnsi="Times New Roman"/>
          <w:sz w:val="20"/>
        </w:rPr>
      </w:pPr>
      <w:r>
        <w:rPr>
          <w:rFonts w:ascii="Times New Roman" w:hAnsi="Times New Roman"/>
          <w:sz w:val="20"/>
        </w:rPr>
        <w:t xml:space="preserve">(k) the form of the Securities of the series including the form of the Certificate of Authentication for such series; </w:t>
      </w:r>
    </w:p>
    <w:p>
      <w:pPr>
        <w:pStyle w:val="TextBody"/>
        <w:bidi w:val="0"/>
        <w:spacing w:before="240" w:after="0"/>
        <w:jc w:val="left"/>
        <w:rPr>
          <w:rFonts w:ascii="Times New Roman" w:hAnsi="Times New Roman"/>
          <w:sz w:val="20"/>
        </w:rPr>
      </w:pPr>
      <w:r>
        <w:rPr>
          <w:rFonts w:ascii="Times New Roman" w:hAnsi="Times New Roman"/>
          <w:sz w:val="20"/>
        </w:rPr>
        <w:t xml:space="preserve">(l) if other than denominations of one thousand U.S. dollars ($1,000) or any integral multiple thereof, the denominations in which the Securities of the series shall be issuable; </w:t>
      </w:r>
    </w:p>
    <w:p>
      <w:pPr>
        <w:pStyle w:val="TextBody"/>
        <w:bidi w:val="0"/>
        <w:spacing w:before="240" w:after="0"/>
        <w:jc w:val="left"/>
        <w:rPr>
          <w:rFonts w:ascii="Times New Roman" w:hAnsi="Times New Roman"/>
          <w:sz w:val="20"/>
        </w:rPr>
      </w:pPr>
      <w:r>
        <w:rPr>
          <w:rFonts w:ascii="Times New Roman" w:hAnsi="Times New Roman"/>
          <w:sz w:val="20"/>
        </w:rPr>
        <w:t xml:space="preserve">(m) whether the Securities are issuable as a Global Security and, in such case, the terms and the identity of the Depositary for such series; </w:t>
      </w:r>
    </w:p>
    <w:p>
      <w:pPr>
        <w:pStyle w:val="TextBody"/>
        <w:bidi w:val="0"/>
        <w:spacing w:before="240" w:after="0"/>
        <w:jc w:val="left"/>
        <w:rPr>
          <w:rFonts w:ascii="Times New Roman" w:hAnsi="Times New Roman"/>
          <w:sz w:val="20"/>
        </w:rPr>
      </w:pPr>
      <w:r>
        <w:rPr>
          <w:rFonts w:ascii="Times New Roman" w:hAnsi="Times New Roman"/>
          <w:sz w:val="20"/>
        </w:rPr>
        <w:t xml:space="preserve">(n) whether the Securities will be convertible into or exchangeable for shares of common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 </w:t>
      </w:r>
    </w:p>
    <w:p>
      <w:pPr>
        <w:pStyle w:val="TextBody"/>
        <w:bidi w:val="0"/>
        <w:spacing w:before="240" w:after="0"/>
        <w:jc w:val="left"/>
        <w:rPr>
          <w:rFonts w:ascii="Times New Roman" w:hAnsi="Times New Roman"/>
          <w:sz w:val="20"/>
        </w:rPr>
      </w:pPr>
      <w:r>
        <w:rPr>
          <w:rFonts w:ascii="Times New Roman" w:hAnsi="Times New Roman"/>
          <w:sz w:val="20"/>
        </w:rPr>
        <w:t xml:space="preserve">(o) if other than the principal amount thereof, the portion of the principal amount of Securities of the series which shall be payable upon declaration of acceleration of the maturity thereof pursuant to Section 6.1; </w:t>
      </w:r>
    </w:p>
    <w:p>
      <w:pPr>
        <w:pStyle w:val="TextBody"/>
        <w:bidi w:val="0"/>
        <w:spacing w:before="240" w:after="0"/>
        <w:jc w:val="left"/>
        <w:rPr>
          <w:rFonts w:ascii="Times New Roman" w:hAnsi="Times New Roman"/>
          <w:sz w:val="20"/>
        </w:rPr>
      </w:pPr>
      <w:r>
        <w:rPr>
          <w:rFonts w:ascii="Times New Roman" w:hAnsi="Times New Roman"/>
          <w:sz w:val="20"/>
        </w:rPr>
        <w:t xml:space="preserve">(p) any additional or different Events of Default or restrictive covenants (which may include, among other restrictions, restrictions on the Company’s ability or the ability of the Company’s Subsidiaries to: incur additional indebtedness; issue additional securities; create liens; pay dividends or make distributions in respect of their capital stock; redeem capital stock; place restrictions on such Subsidiaries placing restrictions on their ability to pay dividends, make distributions or transfer assets; make investments or other restricted payments; sell or otherwise dispose of assets; enter into sale-leaseback transactions; engage in transactions with stockholders and affiliates; issue or sell stock of their Subsidiaries; or effect a consolidation or merger) or financial covenants (which may include, among other financial covenants, financial covenants that require the Company and its Subsidiaries to maintain specified interest coverage, fixed charge, cash flow-based or asset-based ratios) provided for with respect to the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(q) if other than U.S. dollars, the coin or currency in which the Securities of the series are denominated (including, but not limited to, foreign currency); </w:t>
      </w:r>
    </w:p>
    <w:p>
      <w:pPr>
        <w:pStyle w:val="TextBody"/>
        <w:bidi w:val="0"/>
        <w:spacing w:before="240" w:after="0"/>
        <w:jc w:val="left"/>
        <w:rPr>
          <w:rFonts w:ascii="Times New Roman" w:hAnsi="Times New Roman"/>
          <w:sz w:val="20"/>
        </w:rPr>
      </w:pPr>
      <w:r>
        <w:rPr>
          <w:rFonts w:ascii="Times New Roman" w:hAnsi="Times New Roman"/>
          <w:sz w:val="20"/>
        </w:rPr>
        <w:t xml:space="preserve">(r) the designation of the currency, currencies or currency units in which payment of the principal of and interest, if any, on the Securities of the series will be made; </w:t>
      </w:r>
    </w:p>
    <w:p>
      <w:pPr>
        <w:pStyle w:val="TextBody"/>
        <w:bidi w:val="0"/>
        <w:spacing w:before="240" w:after="0"/>
        <w:jc w:val="left"/>
        <w:rPr>
          <w:rFonts w:ascii="Times New Roman" w:hAnsi="Times New Roman"/>
          <w:sz w:val="20"/>
        </w:rPr>
      </w:pPr>
      <w:r>
        <w:rPr>
          <w:rFonts w:ascii="Times New Roman" w:hAnsi="Times New Roman"/>
          <w:sz w:val="20"/>
        </w:rPr>
        <w:t xml:space="preserve">(s)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 </w:t>
      </w:r>
    </w:p>
    <w:p>
      <w:pPr>
        <w:pStyle w:val="TextBody"/>
        <w:bidi w:val="0"/>
        <w:spacing w:before="240" w:after="0"/>
        <w:jc w:val="left"/>
        <w:rPr>
          <w:rFonts w:ascii="Times New Roman" w:hAnsi="Times New Roman"/>
          <w:sz w:val="20"/>
        </w:rPr>
      </w:pPr>
      <w:r>
        <w:rPr>
          <w:rFonts w:ascii="Times New Roman" w:hAnsi="Times New Roman"/>
          <w:sz w:val="20"/>
        </w:rPr>
        <w:t xml:space="preserve">(u) the terms and conditions, if any, upon which the Company shall pay amounts in addition to the stated interest, premium, if any, and principal amounts of the Securities of the series to any Securityholder that is not a “United States person” for federal tax purposes; </w:t>
      </w:r>
    </w:p>
    <w:p>
      <w:pPr>
        <w:pStyle w:val="TextBody"/>
        <w:bidi w:val="0"/>
        <w:spacing w:before="240" w:after="0"/>
        <w:jc w:val="left"/>
        <w:rPr>
          <w:rFonts w:ascii="Times New Roman" w:hAnsi="Times New Roman"/>
          <w:sz w:val="20"/>
        </w:rPr>
      </w:pPr>
      <w:r>
        <w:rPr>
          <w:rFonts w:ascii="Times New Roman" w:hAnsi="Times New Roman"/>
          <w:sz w:val="20"/>
        </w:rPr>
        <w:t xml:space="preserve">(v) any restrictions on transfer, sale or assignment of the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(w) whether any of the Company’s direct or indirect Subsidiaries will guarantee the Securities of that series, including the terms of subordination, if any, of such guarantees; and </w:t>
      </w:r>
    </w:p>
    <w:p>
      <w:pPr>
        <w:pStyle w:val="TextBody"/>
        <w:bidi w:val="0"/>
        <w:spacing w:before="240" w:after="0"/>
        <w:jc w:val="left"/>
        <w:rPr>
          <w:rFonts w:ascii="Times New Roman" w:hAnsi="Times New Roman"/>
          <w:sz w:val="20"/>
        </w:rPr>
      </w:pPr>
      <w:r>
        <w:rPr>
          <w:rFonts w:ascii="Times New Roman" w:hAnsi="Times New Roman"/>
          <w:sz w:val="20"/>
        </w:rPr>
        <w:t xml:space="preserve">(x) 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shall be substantially identical except as to denomination and except as may otherwise be provided in or pursuant to any such Board Resolution or in any indentures supplemental hereto. </w:t>
      </w:r>
    </w:p>
    <w:p>
      <w:pPr>
        <w:pStyle w:val="TextBody"/>
        <w:bidi w:val="0"/>
        <w:spacing w:before="240" w:after="0"/>
        <w:jc w:val="left"/>
        <w:rPr>
          <w:rFonts w:ascii="Times New Roman" w:hAnsi="Times New Roman"/>
          <w:sz w:val="20"/>
        </w:rPr>
      </w:pPr>
      <w:r>
        <w:rPr>
          <w:rFonts w:ascii="Times New Roman" w:hAnsi="Times New Roman"/>
          <w:sz w:val="20"/>
        </w:rPr>
        <w:t xml:space="preserve">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Form Of Securities And Trustee’s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Denominations; Provisions For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issuable as registered Securities and in the denominations of one thousand U.S. dollars ($1,000) or any integral multiple thereof, subject to Section 2.1(l). The Securities of a particular series shall bear interest payable on the dates and at the rate specified with respect to that series.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Unless otherwise set forth in a Board Resolution or one or more indentures supplemental hereto establishing the terms of any series of Securities pursuant to Section 2.1 hereof, each Security shall be dated the date of its authentication. Interest on the Securities shall be computed on the basis of a 360-day year composed of twelve 30-day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3.3. </w:t>
      </w:r>
    </w:p>
    <w:p>
      <w:pPr>
        <w:pStyle w:val="TextBody"/>
        <w:bidi w:val="0"/>
        <w:spacing w:before="240" w:after="0"/>
        <w:jc w:val="left"/>
        <w:rPr>
          <w:rFonts w:ascii="Times New Roman" w:hAnsi="Times New Roman"/>
          <w:sz w:val="20"/>
        </w:rPr>
      </w:pPr>
      <w:r>
        <w:rPr>
          <w:rFonts w:ascii="Times New Roman" w:hAnsi="Times New Roman"/>
          <w:sz w:val="20"/>
        </w:rPr>
        <w:t xml:space="preserve">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(a) or clause (b) below: </w:t>
      </w:r>
    </w:p>
    <w:p>
      <w:pPr>
        <w:pStyle w:val="TextBody"/>
        <w:bidi w:val="0"/>
        <w:spacing w:before="240" w:after="0"/>
        <w:jc w:val="left"/>
        <w:rPr>
          <w:rFonts w:ascii="Times New Roman" w:hAnsi="Times New Roman"/>
          <w:sz w:val="20"/>
        </w:rPr>
      </w:pPr>
      <w:r>
        <w:rPr>
          <w:rFonts w:ascii="Times New Roman" w:hAnsi="Times New Roman"/>
          <w:sz w:val="20"/>
        </w:rPr>
        <w:t xml:space="preserve">(a) 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set forth in a Board Resolution or one or more indentures supplemental hereto establishing the terms of any series of Securities pursuant to Section 2.1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2.1 hereof shall occur, if such Interest Payment Date is the first day of a month, or the last day of the month immediately preceding the month in which an Interest Payment Date established for such series pursuant to Section 2.1 hereof shall occur, if such Interest Payment Date is the fifteenth day of a month, whether or not such date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Execution And Authentications.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signed on behalf of the Company by its chief executive officer, or its president, or one of its senior vice presidents, or one of its vice presidents, or its chief financial officer, or its chief legal officer, or its treasurer, or one of its assistant treasurers, or its controller or one of its assistant controllers, or its secretary, or one of its assistant secretaries, under its corporate seal, if one is in use by the Company, attested by its secretary or one of its assistant secretaries. Signatures may be in the form of a manual or facsimile signature. For purposes of clarity, the Securities must bear two unique signatures.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may use the facsimile signature of any Person who shall have been a chief executive officer, president, senior vice president or vice president, chief financial officer, chief legal officer, treasurer or assistant treasurer, controller or assistant controller, secretary or assistant secretary thereof, notwithstanding the fact that at the time the Securities shall be authenticated and delivered or disposed of such Person shall have ceased to be such an officer of the Company. The seal of the Company may be in the form of a facsimile of such seal and may be impressed, affixed, imprinted or otherwise reproduced on the Securities. The Securities may contain such notations, legends or endorsements required by law, stock exchange rule or usage. Each Security shall be dated the date of its authentication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signed by its chief executive officer, president, any senior vice president or vice president, chief financial officer, chief legal officer, treasurer or any assistant treasurer, or controller or any assistant controller, and its secretary or any assistant secretary, and the Trustee in accordance with such Company Order shall authenticate and deliver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authenticating such Securities and accepting the additional responsibilities under this Indenture in relation to such Securities, the Trustee shall be entitled to receive, and (subject to Section 7.1) shall be fully protected in relying upon, an Opinion of Counsel stating that the form and terms thereof have been established in conformity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Registration Of 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 </w:t>
      </w:r>
    </w:p>
    <w:p>
      <w:pPr>
        <w:pStyle w:val="TextBody"/>
        <w:bidi w:val="0"/>
        <w:spacing w:before="240" w:after="0"/>
        <w:jc w:val="left"/>
        <w:rPr>
          <w:rFonts w:ascii="Times New Roman" w:hAnsi="Times New Roman"/>
          <w:sz w:val="20"/>
        </w:rPr>
      </w:pPr>
      <w:r>
        <w:rPr>
          <w:rFonts w:ascii="Times New Roman" w:hAnsi="Times New Roman"/>
          <w:sz w:val="20"/>
        </w:rPr>
        <w:t xml:space="preserve">(c) Except as provided pursuant to Section 2.1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2.6, Section 3.3(b) and Section 9.4 not involving any transfer.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2.5 are, with respect to any Global Security, subject to Section 2.11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Temporary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Pending the preparation of definitive Securities of any series, the Company may execute, and the Trustee shall authenticate and deliver, temporary Securities (printed, lithographed or typewritten) of any authorized denomination pursuant to a Company Order.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Mutilated, Destroyed, Lost Or Stolen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Cancellation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Section 2.9 </w:t>
      </w:r>
      <w:r>
        <w:rPr>
          <w:rFonts w:ascii="Times New Roman" w:hAnsi="Times New Roman"/>
          <w:sz w:val="20"/>
          <w:u w:val="single"/>
        </w:rPr>
        <w:t>Benefits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Authenticating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 </w:t>
      </w:r>
    </w:p>
    <w:p>
      <w:pPr>
        <w:pStyle w:val="TextBody"/>
        <w:bidi w:val="0"/>
        <w:spacing w:before="240" w:after="0"/>
        <w:jc w:val="left"/>
        <w:rPr>
          <w:rFonts w:ascii="Times New Roman" w:hAnsi="Times New Roman"/>
          <w:sz w:val="20"/>
        </w:rPr>
      </w:pPr>
      <w:r>
        <w:rPr>
          <w:rFonts w:ascii="Times New Roman" w:hAnsi="Times New Roman"/>
          <w:sz w:val="20"/>
        </w:rPr>
        <w:t xml:space="preserve">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Global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the Company shall establish pursuant to Section 2.1 that the Securities of a particular series are to be issued as a Global Security, then the Company shall execute and the Trustee shall, in accordance with Section 2.4,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 (iv) shall bear a legend substantially to the following effect: </w:t>
      </w:r>
    </w:p>
    <w:p>
      <w:pPr>
        <w:pStyle w:val="TextBody"/>
        <w:bidi w:val="0"/>
        <w:spacing w:before="120" w:after="0"/>
        <w:jc w:val="left"/>
        <w:rPr/>
      </w:pPr>
      <w:r>
        <w:rPr/>
        <w:t>“</w:t>
      </w:r>
      <w:r>
        <w:rPr>
          <w:rFonts w:ascii="Times New Roman" w:hAnsi="Times New Roman"/>
          <w:sz w:val="20"/>
        </w:rPr>
        <w:t xml:space="preserve">This Security is a Global Security within the meaning of the Indenture hereinafter referred to and is registered in the name of the Depositary or a nominee of the Depositary. Except as otherwise provided in Section 2.11 of the Indenture, this Security may be transferred, in whole but not in part, only to another nominee of the Depositary or to a successor Depositary or to a nominee of such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provisions of Section 2.5, the Global Security of a series may be transferred, in whole but not in part and in the manner provided in Section 2.5, only to another nominee of the Depositary for such series, or to a successor Depositary for such series selected or approved by the Company or to a nominee of such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(c) 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this Section 2.11 shall no longer be applicable to the Securities of such series and the Company will execute, and subject to Section 2.4,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CUSIP Numbers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Trustee shall have no liability for any defect in the “CUSIP” numbers as they appear on any Security, notice or elsewhere. The Company will promptly notify the Trustee in writing of any change in the “CUSIP” numbers.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Of Securities And </w:t>
      </w:r>
    </w:p>
    <w:p>
      <w:pPr>
        <w:pStyle w:val="TextBody"/>
        <w:bidi w:val="0"/>
        <w:spacing w:before="0" w:after="0"/>
        <w:jc w:val="center"/>
        <w:rPr>
          <w:rFonts w:ascii="Times New Roman" w:hAnsi="Times New Roman"/>
          <w:b/>
          <w:sz w:val="20"/>
        </w:rPr>
      </w:pPr>
      <w:r>
        <w:rPr>
          <w:rFonts w:ascii="Times New Roman" w:hAnsi="Times New Roman"/>
          <w:b/>
          <w:sz w:val="20"/>
        </w:rPr>
        <w:t xml:space="preserve">Sinking Fund Provisions </w:t>
      </w:r>
    </w:p>
    <w:p>
      <w:pPr>
        <w:pStyle w:val="TextBody"/>
        <w:bidi w:val="0"/>
        <w:spacing w:before="12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redeem the Securities of any series issued hereunder on and after the dates and in accordance with the terms established for such series pursuant to Section 2.1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case the Company shall desire to exercise such right to redeem all or, as the case may be, a portion of the Securities of any series in accordance with any right the Company reserved for itself to do so pursuant to Section 2.1 hereof,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 </w:t>
      </w:r>
    </w:p>
    <w:p>
      <w:pPr>
        <w:pStyle w:val="TextBody"/>
        <w:bidi w:val="0"/>
        <w:spacing w:before="240" w:after="0"/>
        <w:jc w:val="left"/>
        <w:rPr>
          <w:rFonts w:ascii="Times New Roman" w:hAnsi="Times New Roman"/>
          <w:sz w:val="20"/>
        </w:rPr>
      </w:pPr>
      <w:r>
        <w:rPr>
          <w:rFonts w:ascii="Times New Roman" w:hAnsi="Times New Roman"/>
          <w:sz w:val="20"/>
        </w:rPr>
        <w:t xml:space="preserve">Each such notice of redemption shall specify the date fixed for redemption and the redemption price at which Securities of that series are to be redeemed,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and shall state any other information as may be required by the terms of the Securities of any series being redeemed. If less than all the Securities of a series are to be redeemed, the notice to the holders of Securities of that series to be redeemed in part shall specify the particular Securities to be so redeemed. </w:t>
      </w:r>
    </w:p>
    <w:p>
      <w:pPr>
        <w:pStyle w:val="TextBody"/>
        <w:bidi w:val="0"/>
        <w:spacing w:before="240" w:after="0"/>
        <w:jc w:val="left"/>
        <w:rPr>
          <w:rFonts w:ascii="Times New Roman" w:hAnsi="Times New Roman"/>
          <w:sz w:val="20"/>
        </w:rPr>
      </w:pPr>
      <w:r>
        <w:rPr>
          <w:rFonts w:ascii="Times New Roman" w:hAnsi="Times New Roman"/>
          <w:sz w:val="20"/>
        </w:rPr>
        <w:t xml:space="preserve">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 </w:t>
      </w:r>
    </w:p>
    <w:p>
      <w:pPr>
        <w:pStyle w:val="TextBody"/>
        <w:bidi w:val="0"/>
        <w:spacing w:before="240" w:after="0"/>
        <w:jc w:val="left"/>
        <w:rPr>
          <w:rFonts w:ascii="Times New Roman" w:hAnsi="Times New Roman"/>
          <w:sz w:val="20"/>
        </w:rPr>
      </w:pPr>
      <w:r>
        <w:rPr>
          <w:rFonts w:ascii="Times New Roman" w:hAnsi="Times New Roman"/>
          <w:sz w:val="20"/>
        </w:rPr>
        <w:t xml:space="preserve">(b) If less than all the Securities of a series are to be redeemed, the Company shall give the Trustee at least 45 days’ notice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its chief executive officer, president or any senior vice president or vice president,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Payment Upon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2.3). </w:t>
      </w:r>
    </w:p>
    <w:p>
      <w:pPr>
        <w:pStyle w:val="TextBody"/>
        <w:bidi w:val="0"/>
        <w:spacing w:before="240" w:after="0"/>
        <w:jc w:val="left"/>
        <w:rPr>
          <w:rFonts w:ascii="Times New Roman" w:hAnsi="Times New Roman"/>
          <w:sz w:val="20"/>
        </w:rPr>
      </w:pPr>
      <w:r>
        <w:rPr>
          <w:rFonts w:ascii="Times New Roman" w:hAnsi="Times New Roman"/>
          <w:sz w:val="20"/>
        </w:rPr>
        <w:t xml:space="preserve">(b) 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Sections 3.4, 3.5 and 3.6 shall be applicable to any sinking fund for the retirement of Securities of a series, except as otherwise specified as contemplated by Section 2.1 for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3.5. Each sinking fund payment shall be applied to the redemption of Securities of any series as provided for by the terms of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Satisfaction Of Sinking Fund Payments With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 may deliver Outstanding Securities of a series and (b)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Redemption Of Securities For 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 less than 45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3.2. Such notice having been duly given, the redemption of such Securities shall be made upon the terms and in the manner stated in Section 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Payment Of Principal, Premium And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duly and punctually pay or cause to be paid directly or through a paying agent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(such a wire transfer to be made only to a Securityholder of an aggregate principal amount of Securities of the applicable series in excess of U.S. $2,000,000 and only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(such a wire transfer to be made only to a Securityholder of an aggregate principal amount of Securities of the applicable series in excess of U.S. $2,000,000 and only if such Securityholder shall have furnished wire instructions in writing to the Security Registrar and the Trustee no later than 15 days prior to the relevant payment date).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Maintenance Of Office Or Agency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4.2, where (a) Securities of that series may be presented for payment, (b) Securities of that series may be presented as herein above authorized for registration of transfer and exchange, and (c)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[____________________], an affiliate of the Trustee, located in the Borough of Manhattan, the City and State of New York as its paying agent with respect to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Paying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(i) 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 </w:t>
      </w:r>
    </w:p>
    <w:p>
      <w:pPr>
        <w:pStyle w:val="TextBody"/>
        <w:bidi w:val="0"/>
        <w:spacing w:before="120" w:after="0"/>
        <w:jc w:val="left"/>
        <w:rPr>
          <w:rFonts w:ascii="Times New Roman" w:hAnsi="Times New Roman"/>
          <w:sz w:val="20"/>
        </w:rPr>
      </w:pPr>
      <w:r>
        <w:rPr>
          <w:rFonts w:ascii="Times New Roman" w:hAnsi="Times New Roman"/>
          <w:sz w:val="20"/>
        </w:rPr>
        <w:t xml:space="preserve">(ii) that it will give the Trustee notice of any failure by the Company (or by any other obligor of such Securities) to make any payment of the principal of (and premium, if any) or interest on the Securities of that series when the same shall be due and payable; </w:t>
      </w:r>
    </w:p>
    <w:p>
      <w:pPr>
        <w:pStyle w:val="TextBody"/>
        <w:bidi w:val="0"/>
        <w:spacing w:before="120" w:after="0"/>
        <w:jc w:val="left"/>
        <w:rPr>
          <w:rFonts w:ascii="Times New Roman" w:hAnsi="Times New Roman"/>
          <w:sz w:val="20"/>
        </w:rPr>
      </w:pPr>
      <w:r>
        <w:rPr>
          <w:rFonts w:ascii="Times New Roman" w:hAnsi="Times New Roman"/>
          <w:sz w:val="20"/>
        </w:rPr>
        <w:t xml:space="preserve">(iii) that it will, at any time during the continuance of any failure referred to in the preceding paragraph (a)(ii) above, upon the written request of the Trustee, forthwith pay to the Trustee all sums so held in trust by such paying agent;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that it will perform all other duties of paying agent as set forth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in this Section to the contrary, (i) the agreement to hold sums in trust as provided in this Section is subject to the provisions of Section 11.7,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Appointment To Fill Vacancy In Office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whenever necessary to avoid or fill a vacancy in the office of Trustee, will appoint, in the manner provided in Section 7.10, a Trustee, so that there shall at all times be a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Compliance With Consolidation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X hereof are complied with.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Securityholders’ Lists And Reports By </w:t>
      </w:r>
    </w:p>
    <w:p>
      <w:pPr>
        <w:pStyle w:val="TextBody"/>
        <w:bidi w:val="0"/>
        <w:spacing w:before="0" w:after="0"/>
        <w:jc w:val="center"/>
        <w:rPr>
          <w:rFonts w:ascii="Times New Roman" w:hAnsi="Times New Roman"/>
          <w:b/>
          <w:sz w:val="20"/>
        </w:rPr>
      </w:pPr>
      <w:r>
        <w:rPr>
          <w:rFonts w:ascii="Times New Roman" w:hAnsi="Times New Roman"/>
          <w:b/>
          <w:sz w:val="20"/>
        </w:rPr>
        <w:t xml:space="preserve">The Company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Company To Furnish Trustee Names And Addresses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furnish or cause to be furnished to the Trustee (a) on each regular record date (as defined in Section 2.3) in compliance with Section 312(a) of the Trust Indenture Act,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Preservation Of Information; Communications With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shall preserve, in as current a form as is reasonably practicable, all information as to the names and addresses of the holders of Securities contained in the most recent list furnished to it as provided in Section 5.1 and as to the names and addresses of holders of Securities received by the Trustee in its capacity as Security Registrar (if acting in such capacity).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Trustee may destroy any list furnished to it as provided in Section 5.1 upon receipt of a new list so furnished. </w:t>
      </w:r>
    </w:p>
    <w:p>
      <w:pPr>
        <w:pStyle w:val="TextBody"/>
        <w:bidi w:val="0"/>
        <w:spacing w:before="240" w:after="0"/>
        <w:jc w:val="left"/>
        <w:rPr>
          <w:rFonts w:ascii="Times New Roman" w:hAnsi="Times New Roman"/>
          <w:sz w:val="20"/>
        </w:rPr>
      </w:pPr>
      <w:r>
        <w:rPr>
          <w:rFonts w:ascii="Times New Roman" w:hAnsi="Times New Roman"/>
          <w:sz w:val="20"/>
        </w:rPr>
        <w:t xml:space="preserve">(c) 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 The Company, the Trustee and anyone else shall have the protection of Section 312(c)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Reports By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long as any Securities are Outstanding, the Company shall file with the Trustee, and transmit to the holders, such information, documents and other reports, and such summaries thereof, as may be required pursuant to Section 314(a) of the Trust Indenture Act. All reports, information and documents referred to in this Section 5.3 will be deemed to be filed with the Trustee and transmitted to the holders at the time such reports, information or documents are publicly filed with the Securities and Exchange Commission (the “SEC”) via the SEC’s EDGAR filing system (or any successor system), it being understood that the Trustee shall have no responsibility whatsoever to determine if such filings have been made. </w:t>
      </w:r>
    </w:p>
    <w:p>
      <w:pPr>
        <w:pStyle w:val="TextBody"/>
        <w:bidi w:val="0"/>
        <w:spacing w:before="240" w:after="0"/>
        <w:jc w:val="left"/>
        <w:rPr>
          <w:rFonts w:ascii="Times New Roman" w:hAnsi="Times New Roman"/>
          <w:sz w:val="20"/>
        </w:rPr>
      </w:pPr>
      <w:r>
        <w:rPr>
          <w:rFonts w:ascii="Times New Roman" w:hAnsi="Times New Roman"/>
          <w:sz w:val="20"/>
        </w:rPr>
        <w:t xml:space="preserve">(b) Delivery of reports, information and documents to the Trustee under this Section 5.3 are for informational purposes only and shall not constitute a representation or warranty as to the accuracy or completeness of the reports, information and documents. The Trustee’s receipt of the foregoing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Reports By The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shall transmit to the Securityholders such reports concerning the Trustee and its actions under this Indenture as may be required pursuant to the Trust Indenture Act at the time and in the manner provided pursuant thereto. If required by Section 313(a) of the Trust Indenture Act, the Trustee shall, within 60 days after each [______] following the date of this Indenture, deliver to holders a brief report, which complies with the provisions of such Section 313(a). </w:t>
      </w:r>
    </w:p>
    <w:p>
      <w:pPr>
        <w:pStyle w:val="TextBody"/>
        <w:bidi w:val="0"/>
        <w:spacing w:before="240" w:after="0"/>
        <w:jc w:val="left"/>
        <w:rPr>
          <w:rFonts w:ascii="Times New Roman" w:hAnsi="Times New Roman"/>
          <w:sz w:val="20"/>
        </w:rPr>
      </w:pPr>
      <w:r>
        <w:rPr>
          <w:rFonts w:ascii="Times New Roman" w:hAnsi="Times New Roman"/>
          <w:sz w:val="20"/>
        </w:rPr>
        <w:t xml:space="preserve">(b) The Trustee shall comply with Section 313(b), (c) and (d)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(c) A copy of each such report shall, at the time of such transmission to Securityholders, be filed by the Trustee with the Company, with each securities exchange upon which any Securities are listed (if so listed) and also with the Securities and Exchange Commission. The Company agrees to notify the Trustee when any Securities become listed on any securities exchange.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Remedies Of The Trustee And Securityholders </w:t>
      </w:r>
    </w:p>
    <w:p>
      <w:pPr>
        <w:pStyle w:val="TextBody"/>
        <w:bidi w:val="0"/>
        <w:spacing w:before="0" w:after="0"/>
        <w:jc w:val="center"/>
        <w:rPr>
          <w:rFonts w:ascii="Times New Roman" w:hAnsi="Times New Roman"/>
          <w:b/>
          <w:sz w:val="20"/>
        </w:rPr>
      </w:pPr>
      <w:r>
        <w:rPr>
          <w:rFonts w:ascii="Times New Roman" w:hAnsi="Times New Roman"/>
          <w:b/>
          <w:sz w:val="20"/>
        </w:rPr>
        <w:t xml:space="preserve">On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Whenever used herein with respect to Securities of a particular series, “Event of Default” means any one or more of the following events that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(i) the Company defaults in the payment of any installment of interest upon any of the Securities of that series, as and when the same shall become due and payable, and such default continues for a period of 30 days; provided, however, that a valid extension of an interest payment period by the Company in accordance with the terms of any indenture supplemental hereto shall not constitute a default in the payment of interest for this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 fails to observe or perform any other of its covenants or agreements with respect to that series contained in this Indenture or otherwise established with respect to that series of Securities pursuant to Section 2.1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(iv) the Company pursuant to or within the meaning of any Bankruptcy Law (A) commences a voluntary case, (B) consents to the entry of an order for relief against it in an involuntary case, (C) consents to the appointment of a Custodian of it or for all or substantially all of its property or (D) makes a general assignment for the benefit of its creditors; </w:t>
      </w:r>
    </w:p>
    <w:p>
      <w:pPr>
        <w:pStyle w:val="TextBody"/>
        <w:bidi w:val="0"/>
        <w:spacing w:before="120" w:after="0"/>
        <w:jc w:val="left"/>
        <w:rPr>
          <w:rFonts w:ascii="Times New Roman" w:hAnsi="Times New Roman"/>
          <w:sz w:val="20"/>
        </w:rPr>
      </w:pPr>
      <w:r>
        <w:rPr>
          <w:rFonts w:ascii="Times New Roman" w:hAnsi="Times New Roman"/>
          <w:sz w:val="20"/>
        </w:rPr>
        <w:t xml:space="preserve">(v) a court of competent jurisdiction enters an order under any Bankruptcy Law that (A) is for relief against the Company in an involuntary case, (B) appoints a Custodian of the Company for all or substantially all of its property or (C) orders the liquidation of the Company, and the order or decree remains unstayed and in effect for 90 days; or </w:t>
      </w:r>
    </w:p>
    <w:p>
      <w:pPr>
        <w:pStyle w:val="TextBody"/>
        <w:bidi w:val="0"/>
        <w:spacing w:before="120" w:after="0"/>
        <w:jc w:val="left"/>
        <w:rPr>
          <w:rFonts w:ascii="Times New Roman" w:hAnsi="Times New Roman"/>
          <w:sz w:val="20"/>
        </w:rPr>
      </w:pPr>
      <w:r>
        <w:rPr>
          <w:rFonts w:ascii="Times New Roman" w:hAnsi="Times New Roman"/>
          <w:sz w:val="20"/>
        </w:rPr>
        <w:t xml:space="preserve">(vi) any other Event of Default established with respect to that series of Securities pursuant to Section 2.1 hereof. </w:t>
      </w:r>
    </w:p>
    <w:p>
      <w:pPr>
        <w:pStyle w:val="TextBody"/>
        <w:bidi w:val="0"/>
        <w:spacing w:before="240" w:after="0"/>
        <w:jc w:val="left"/>
        <w:rPr>
          <w:rFonts w:ascii="Times New Roman" w:hAnsi="Times New Roman"/>
          <w:sz w:val="20"/>
        </w:rPr>
      </w:pPr>
      <w:r>
        <w:rPr>
          <w:rFonts w:ascii="Times New Roman" w:hAnsi="Times New Roman"/>
          <w:sz w:val="20"/>
        </w:rPr>
        <w:t xml:space="preserve">(b) In each and every such case (other than an Event of Default specified in clause (iv) or clause (v) immediately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(iv) or clause (v) immediately above occurs, the principal of and accrued and unpaid interest on all the Securities of that series shall automatically be immediately due and payable without any declaration or other act on the part of the Trustee or the holders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(c) 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such rescission and annulment shall extend to or shall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(d) 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the Trustee and the holders shall be restored respectively to their former positions and rights hereunder, and all rights, remedies and powers of the Company, the Trustee and the holders, as applicable, shall continue as though no such proceedings had been taken.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Collection Of Indebtedness And Suits For Enforcement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covenants that (i) in case it shall default in the payment of any installment of interest on any of the Securities of a series, and such default shall have continued for a period of 90 Business Days, or (ii) in case it shall default in the payment of the principal of (or premium, if any, on) any of the Securities of a series when the same shall have become due and payable, whether upon maturity of the Securities of a series or upon redemption or upon declaration or otherwise, or in any payment required by any sinking or analogous fund established with respect to that series as and when the same shall have become due and payable,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7.6. </w:t>
      </w:r>
    </w:p>
    <w:p>
      <w:pPr>
        <w:pStyle w:val="TextBody"/>
        <w:bidi w:val="0"/>
        <w:spacing w:before="240" w:after="0"/>
        <w:jc w:val="left"/>
        <w:rPr>
          <w:rFonts w:ascii="Times New Roman" w:hAnsi="Times New Roman"/>
          <w:sz w:val="20"/>
        </w:rPr>
      </w:pPr>
      <w:r>
        <w:rPr>
          <w:rFonts w:ascii="Times New Roman" w:hAnsi="Times New Roman"/>
          <w:sz w:val="20"/>
        </w:rPr>
        <w:t xml:space="preserve">(b) 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 </w:t>
      </w:r>
    </w:p>
    <w:p>
      <w:pPr>
        <w:pStyle w:val="TextBody"/>
        <w:bidi w:val="0"/>
        <w:spacing w:before="240" w:after="0"/>
        <w:jc w:val="left"/>
        <w:rPr>
          <w:rFonts w:ascii="Times New Roman" w:hAnsi="Times New Roman"/>
          <w:sz w:val="20"/>
        </w:rPr>
      </w:pPr>
      <w:r>
        <w:rPr>
          <w:rFonts w:ascii="Times New Roman" w:hAnsi="Times New Roman"/>
          <w:sz w:val="20"/>
        </w:rPr>
        <w:t xml:space="preserve">(c) 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7.6. </w:t>
      </w:r>
    </w:p>
    <w:p>
      <w:pPr>
        <w:pStyle w:val="TextBody"/>
        <w:bidi w:val="0"/>
        <w:spacing w:before="240" w:after="0"/>
        <w:jc w:val="left"/>
        <w:rPr>
          <w:rFonts w:ascii="Times New Roman" w:hAnsi="Times New Roman"/>
          <w:sz w:val="20"/>
        </w:rPr>
      </w:pPr>
      <w:r>
        <w:rPr>
          <w:rFonts w:ascii="Times New Roman" w:hAnsi="Times New Roman"/>
          <w:sz w:val="20"/>
        </w:rPr>
        <w:t xml:space="preserve">(d) 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7.6, be for the ratable benefit of the holders of the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Application Of Moneys Collected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 </w:t>
      </w:r>
    </w:p>
    <w:p>
      <w:pPr>
        <w:pStyle w:val="TextBody"/>
        <w:bidi w:val="0"/>
        <w:spacing w:before="240" w:after="0"/>
        <w:jc w:val="left"/>
        <w:rPr>
          <w:rFonts w:ascii="Times New Roman" w:hAnsi="Times New Roman"/>
          <w:sz w:val="20"/>
        </w:rPr>
      </w:pPr>
      <w:r>
        <w:rPr>
          <w:rFonts w:ascii="Times New Roman" w:hAnsi="Times New Roman"/>
          <w:sz w:val="20"/>
        </w:rPr>
        <w:t xml:space="preserve">FIRST: To the payment of reasonable costs and expenses of collection and of all amounts payable to the Trustee under Section 7.6; </w:t>
      </w:r>
    </w:p>
    <w:p>
      <w:pPr>
        <w:pStyle w:val="TextBody"/>
        <w:bidi w:val="0"/>
        <w:spacing w:before="240" w:after="0"/>
        <w:jc w:val="left"/>
        <w:rPr>
          <w:rFonts w:ascii="Times New Roman" w:hAnsi="Times New Roman"/>
          <w:sz w:val="20"/>
        </w:rPr>
      </w:pPr>
      <w:r>
        <w:rPr>
          <w:rFonts w:ascii="Times New Roman" w:hAnsi="Times New Roman"/>
          <w:sz w:val="20"/>
        </w:rPr>
        <w:t xml:space="preserve">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 </w:t>
      </w:r>
    </w:p>
    <w:p>
      <w:pPr>
        <w:pStyle w:val="TextBody"/>
        <w:bidi w:val="0"/>
        <w:spacing w:before="240" w:after="0"/>
        <w:jc w:val="left"/>
        <w:rPr>
          <w:rFonts w:ascii="Times New Roman" w:hAnsi="Times New Roman"/>
          <w:sz w:val="20"/>
        </w:rPr>
      </w:pPr>
      <w:r>
        <w:rPr>
          <w:rFonts w:ascii="Times New Roman" w:hAnsi="Times New Roman"/>
          <w:sz w:val="20"/>
        </w:rPr>
        <w:t xml:space="preserve">THIRD: To the payment of the remainder, if any, to the Company or any other Person lawfully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Limitation On Suits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(a) such holder previously shall have given to the Trustee written notice of an Event of Default and of the continuance thereof with respect to the Securities of such series specifying such Event of Default, as hereinbefore provided; (b) the holders of not less than 25% in aggregate principal amount of the Securities of such series then Outstanding shall have given to the Trustee a written request to institute such action, suit or proceeding in its own name as Trustee hereunder; (c) such holder or holders shall have offered to the Trustee such reasonable indemnity satisfactory to the Trustee against the costs, expenses and liabilities to be incurred therein or thereby; (d) the Trustee for 90 days after its receipt of such notice, request and offer of indemnity, shall have failed to institute any such action, suit or proceeding and (e) during such 90 day period, the holders of a majority in principal amount of the Securities of that series do not give the Trustee a direction inconsistent with the request.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Rights And Remedies Cumulative; Delay Or Omission Not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in Section 2.7,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(b) 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6.4, every power and remedy given by this Article or by law to the Trustee or the Securityholders may be exercised from time to time, and as often as shall be deemed expedient, by the Trustee or by the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Control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Securities of any series at the time Outstanding, determined in accordance with Section 8.4,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Subject to the provisions of Section 7.1, the Trustee may take any other action deemed proper by the Trustee which is not inconsistent with such direction and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Upon written notice to the Trustee, the holders of a majority in aggregate principal amount of the Securities of any series at the time Outstanding affected thereby, determined in accordance with Section 8.4, may on behalf of the holders of all of the Securities of such series waive any past default in the performance of any of the covenants contained herein or established pursuant to Section 2.1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Undertaking To Pay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Concerning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Certain Duties And Responsibilities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person would exercise or use under the circumstances in the conduct of such person’s own affairs. </w:t>
      </w:r>
    </w:p>
    <w:p>
      <w:pPr>
        <w:pStyle w:val="TextBody"/>
        <w:bidi w:val="0"/>
        <w:spacing w:before="240" w:after="0"/>
        <w:jc w:val="left"/>
        <w:rPr>
          <w:rFonts w:ascii="Times New Roman" w:hAnsi="Times New Roman"/>
          <w:sz w:val="20"/>
        </w:rPr>
      </w:pPr>
      <w:r>
        <w:rPr>
          <w:rFonts w:ascii="Times New Roman" w:hAnsi="Times New Roman"/>
          <w:sz w:val="20"/>
        </w:rPr>
        <w:t xml:space="preserve">(b) No provision of this Indenture shall be construed to relieve the Trustee from liability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(i) prior to the occurrence of an Event of Default with respect to the Securities of a series and after the curing or waiving of all such Events of Default with respect to that series that may have occurred: </w:t>
      </w:r>
    </w:p>
    <w:p>
      <w:pPr>
        <w:pStyle w:val="TextBody"/>
        <w:bidi w:val="0"/>
        <w:spacing w:before="120" w:after="0"/>
        <w:jc w:val="left"/>
        <w:rPr>
          <w:rFonts w:ascii="Times New Roman" w:hAnsi="Times New Roman"/>
          <w:sz w:val="20"/>
        </w:rPr>
      </w:pPr>
      <w:r>
        <w:rPr>
          <w:rFonts w:ascii="Times New Roman" w:hAnsi="Times New Roman"/>
          <w:sz w:val="20"/>
        </w:rPr>
        <w:t xml:space="preserve">(A) 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 </w:t>
      </w:r>
    </w:p>
    <w:p>
      <w:pPr>
        <w:pStyle w:val="TextBody"/>
        <w:bidi w:val="0"/>
        <w:spacing w:before="120" w:after="0"/>
        <w:jc w:val="left"/>
        <w:rPr>
          <w:rFonts w:ascii="Times New Roman" w:hAnsi="Times New Roman"/>
          <w:sz w:val="20"/>
        </w:rPr>
      </w:pPr>
      <w:r>
        <w:rPr>
          <w:rFonts w:ascii="Times New Roman" w:hAnsi="Times New Roman"/>
          <w:sz w:val="20"/>
        </w:rPr>
        <w:t xml:space="preserve">(B) 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(ii) the Trustee shall not be liable for any error of judgment made in good faith by a Responsible Officer or Responsible Officers of the Trustee, unless it shall be proved that the Trustee was negligent in ascertaining the pertinent facts;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 </w:t>
      </w:r>
    </w:p>
    <w:p>
      <w:pPr>
        <w:pStyle w:val="TextBody"/>
        <w:bidi w:val="0"/>
        <w:spacing w:before="120" w:after="0"/>
        <w:jc w:val="left"/>
        <w:rPr>
          <w:rFonts w:ascii="Times New Roman" w:hAnsi="Times New Roman"/>
          <w:sz w:val="20"/>
        </w:rPr>
      </w:pPr>
      <w:r>
        <w:rPr>
          <w:rFonts w:ascii="Times New Roman" w:hAnsi="Times New Roman"/>
          <w:sz w:val="20"/>
        </w:rPr>
        <w:t xml:space="preserve">(iv) 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Certain Rights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Section 7.1: </w:t>
      </w:r>
    </w:p>
    <w:p>
      <w:pPr>
        <w:pStyle w:val="TextBody"/>
        <w:bidi w:val="0"/>
        <w:spacing w:before="240" w:after="0"/>
        <w:jc w:val="left"/>
        <w:rPr>
          <w:rFonts w:ascii="Times New Roman" w:hAnsi="Times New Roman"/>
          <w:sz w:val="20"/>
        </w:rPr>
      </w:pPr>
      <w:r>
        <w:rPr>
          <w:rFonts w:ascii="Times New Roman" w:hAnsi="Times New Roman"/>
          <w:sz w:val="20"/>
        </w:rPr>
        <w:t xml:space="preserve">(a) 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(b) 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consult with counsel and the written advice of such counsel or any Opinion of Counsel shall be full and complete authorization and protection in respect of any action taken or suffered or omitted hereunder in good faith and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(d) 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person would exercise or use under the circumstances in the conduct of such person’s own affairs; </w:t>
      </w:r>
    </w:p>
    <w:p>
      <w:pPr>
        <w:pStyle w:val="TextBody"/>
        <w:bidi w:val="0"/>
        <w:spacing w:before="240" w:after="0"/>
        <w:jc w:val="left"/>
        <w:rPr>
          <w:rFonts w:ascii="Times New Roman" w:hAnsi="Times New Roman"/>
          <w:sz w:val="20"/>
        </w:rPr>
      </w:pPr>
      <w:r>
        <w:rPr>
          <w:rFonts w:ascii="Times New Roman" w:hAnsi="Times New Roman"/>
          <w:sz w:val="20"/>
        </w:rPr>
        <w:t xml:space="preserve">(e) The Trustee shall not be liable for any action taken or omitted to be taken by it in good faith and believed by it to be authorized or within the discretion or rights or powers conferred upon it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(f) 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 </w:t>
      </w:r>
    </w:p>
    <w:p>
      <w:pPr>
        <w:pStyle w:val="TextBody"/>
        <w:bidi w:val="0"/>
        <w:spacing w:before="240" w:after="0"/>
        <w:jc w:val="left"/>
        <w:rPr>
          <w:rFonts w:ascii="Times New Roman" w:hAnsi="Times New Roman"/>
          <w:sz w:val="20"/>
        </w:rPr>
      </w:pPr>
      <w:r>
        <w:rPr>
          <w:rFonts w:ascii="Times New Roman" w:hAnsi="Times New Roman"/>
          <w:sz w:val="20"/>
        </w:rPr>
        <w:t xml:space="preserve">(g)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7.3 Trustee Not Responsible For Recitals Or Issuance Or Securities. </w:t>
      </w:r>
    </w:p>
    <w:p>
      <w:pPr>
        <w:pStyle w:val="TextBody"/>
        <w:bidi w:val="0"/>
        <w:spacing w:before="240" w:after="0"/>
        <w:jc w:val="left"/>
        <w:rPr>
          <w:rFonts w:ascii="Times New Roman" w:hAnsi="Times New Roman"/>
          <w:sz w:val="20"/>
        </w:rPr>
      </w:pPr>
      <w:r>
        <w:rPr>
          <w:rFonts w:ascii="Times New Roman" w:hAnsi="Times New Roman"/>
          <w:sz w:val="20"/>
        </w:rPr>
        <w:t xml:space="preserve">(a) The recitals contained herein and in the Securities shall be taken as the statements of the Company, and the Trustee assumes no responsibility for the correctness of the same. </w:t>
      </w:r>
    </w:p>
    <w:p>
      <w:pPr>
        <w:pStyle w:val="TextBody"/>
        <w:bidi w:val="0"/>
        <w:spacing w:before="240" w:after="0"/>
        <w:jc w:val="left"/>
        <w:rPr>
          <w:rFonts w:ascii="Times New Roman" w:hAnsi="Times New Roman"/>
          <w:sz w:val="20"/>
        </w:rPr>
      </w:pPr>
      <w:r>
        <w:rPr>
          <w:rFonts w:ascii="Times New Roman" w:hAnsi="Times New Roman"/>
          <w:sz w:val="20"/>
        </w:rPr>
        <w:t xml:space="preserve">(b) The Trustee makes no representations as to the validity or sufficiency of this Indenture or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(c) 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2.1, or for the use or application of any moneys received by any paying agent other than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May Hold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or any paying agent or Security Registrar, in its individual or any other capacity, may become the owner or pledgee of Securities with the same rights it would have if it were not Trustee, paying agent or Security Registrar.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Moneys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11.7,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7.6 Compensation And Reimbursement. </w:t>
      </w:r>
    </w:p>
    <w:p>
      <w:pPr>
        <w:pStyle w:val="TextBody"/>
        <w:bidi w:val="0"/>
        <w:spacing w:before="240" w:after="0"/>
        <w:jc w:val="left"/>
        <w:rPr>
          <w:rFonts w:ascii="Times New Roman" w:hAnsi="Times New Roman"/>
          <w:sz w:val="20"/>
        </w:rPr>
      </w:pPr>
      <w:r>
        <w:rPr>
          <w:rFonts w:ascii="Times New Roman" w:hAnsi="Times New Roman"/>
          <w:sz w:val="20"/>
        </w:rPr>
        <w:t xml:space="preserve">(a) 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and except as the Company and Trustee may from time to time agree in writing.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reasonable costs and expenses of defending itself against any claim of liability in the premises. </w:t>
      </w:r>
    </w:p>
    <w:p>
      <w:pPr>
        <w:pStyle w:val="TextBody"/>
        <w:bidi w:val="0"/>
        <w:spacing w:before="240" w:after="0"/>
        <w:jc w:val="left"/>
        <w:rPr>
          <w:rFonts w:ascii="Times New Roman" w:hAnsi="Times New Roman"/>
          <w:sz w:val="20"/>
        </w:rPr>
      </w:pPr>
      <w:r>
        <w:rPr>
          <w:rFonts w:ascii="Times New Roman" w:hAnsi="Times New Roman"/>
          <w:sz w:val="20"/>
        </w:rPr>
        <w:t xml:space="preserve">(b) The obligations of the Company under this Section to compensate and indemnify the Trustee and to pay or reimburse the Trustee for reasonable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Reliance On Officers’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Section 7.1,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Disqualification; Conflicting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has or shall acquire any “conflicting interest” within the meaning of Section 310(b) of the Trust Indenture Act, the Trustee and the Company shall in all respects comply with the provisions of Section 310(b) of the Trust Indenture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Corporate Trustee Required; Eligibility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Securities and Exchange Commission, authorized under such laws to exercise corporate trust powers, meeting the requirements of Sections 310(a)(1), (2) and (5) of the Trust Indenture Act, having (or, in the case of a subsidiary of a bank holding company, its bank holding company parent shall have) a combined capital and surplus of at least fifty million U.S. dollars ($50,000,000), and subject to supervision or examination by federal, state, territorial, or District of Columbia authority. </w:t>
      </w:r>
    </w:p>
    <w:p>
      <w:pPr>
        <w:pStyle w:val="TextBody"/>
        <w:bidi w:val="0"/>
        <w:spacing w:before="240" w:after="0"/>
        <w:jc w:val="left"/>
        <w:rPr>
          <w:rFonts w:ascii="Times New Roman" w:hAnsi="Times New Roman"/>
          <w:sz w:val="20"/>
        </w:rPr>
      </w:pPr>
      <w:r>
        <w:rPr>
          <w:rFonts w:ascii="Times New Roman" w:hAnsi="Times New Roman"/>
          <w:sz w:val="20"/>
        </w:rPr>
        <w:t xml:space="preserve">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Resignation And Removal; Appointment Of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(b) In case at any time any one of the following shall occur: </w:t>
      </w:r>
    </w:p>
    <w:p>
      <w:pPr>
        <w:pStyle w:val="TextBody"/>
        <w:bidi w:val="0"/>
        <w:spacing w:before="120" w:after="0"/>
        <w:jc w:val="left"/>
        <w:rPr>
          <w:rFonts w:ascii="Times New Roman" w:hAnsi="Times New Roman"/>
          <w:sz w:val="20"/>
        </w:rPr>
      </w:pPr>
      <w:r>
        <w:rPr>
          <w:rFonts w:ascii="Times New Roman" w:hAnsi="Times New Roman"/>
          <w:sz w:val="20"/>
        </w:rPr>
        <w:t xml:space="preserve">(i) the Trustee shall fail to comply with the provisions of Section 7.8 after written request therefor by the Company or by any Securityholder who has been a bona fide holder of a Security or Securities for at least six months; or </w:t>
      </w:r>
    </w:p>
    <w:p>
      <w:pPr>
        <w:pStyle w:val="TextBody"/>
        <w:bidi w:val="0"/>
        <w:spacing w:before="120" w:after="0"/>
        <w:jc w:val="left"/>
        <w:rPr>
          <w:rFonts w:ascii="Times New Roman" w:hAnsi="Times New Roman"/>
          <w:sz w:val="20"/>
        </w:rPr>
      </w:pPr>
      <w:r>
        <w:rPr>
          <w:rFonts w:ascii="Times New Roman" w:hAnsi="Times New Roman"/>
          <w:sz w:val="20"/>
        </w:rPr>
        <w:t xml:space="preserve">(ii) the Trustee shall cease to be eligible in accordance with the provisions of Section 7.9 and shall fail to resign after written request therefor by the Company or by any such Securityholder; or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Any resignation or removal of the Trustee and appointment of a successor trustee with respect to the Securities of a series pursuant to any of the provisions of this Section shall become effective upon acceptance of appointment by the successor trustee as provided in Section 7.11. </w:t>
      </w:r>
    </w:p>
    <w:p>
      <w:pPr>
        <w:pStyle w:val="TextBody"/>
        <w:bidi w:val="0"/>
        <w:spacing w:before="240" w:after="0"/>
        <w:jc w:val="left"/>
        <w:rPr>
          <w:rFonts w:ascii="Times New Roman" w:hAnsi="Times New Roman"/>
          <w:sz w:val="20"/>
        </w:rPr>
      </w:pPr>
      <w:r>
        <w:rPr>
          <w:rFonts w:ascii="Times New Roman" w:hAnsi="Times New Roman"/>
          <w:sz w:val="20"/>
        </w:rPr>
        <w:t xml:space="preserve">(e) Any successor trustee appointed pursuant to this Section may be appointed with respect to the Securities of one or more series or all of such series, and at any time there shall be only one Trustee with respect to the Securities of any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Acceptance Of Appointment By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(b)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 </w:t>
      </w:r>
    </w:p>
    <w:p>
      <w:pPr>
        <w:pStyle w:val="TextBody"/>
        <w:bidi w:val="0"/>
        <w:spacing w:before="240" w:after="0"/>
        <w:jc w:val="left"/>
        <w:rPr>
          <w:rFonts w:ascii="Times New Roman" w:hAnsi="Times New Roman"/>
          <w:sz w:val="20"/>
        </w:rPr>
      </w:pPr>
      <w:r>
        <w:rPr>
          <w:rFonts w:ascii="Times New Roman" w:hAnsi="Times New Roman"/>
          <w:sz w:val="20"/>
        </w:rPr>
        <w:t xml:space="preserve">(c) Upon request of any such successor trustee, the Company shall execute any and all instruments for more fully and certainly vesting in and confirming to such successor trustee all such rights, powers and trusts referred to in paragraph (a) or (b) of this Section,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 successor trustee shall accept its appointment unless at the time of such acceptance such successor trustee shall be qualified and eligible under this Article. </w:t>
      </w:r>
    </w:p>
    <w:p>
      <w:pPr>
        <w:pStyle w:val="TextBody"/>
        <w:bidi w:val="0"/>
        <w:spacing w:before="240" w:after="0"/>
        <w:jc w:val="left"/>
        <w:rPr>
          <w:rFonts w:ascii="Times New Roman" w:hAnsi="Times New Roman"/>
          <w:sz w:val="20"/>
        </w:rPr>
      </w:pPr>
      <w:r>
        <w:rPr>
          <w:rFonts w:ascii="Times New Roman" w:hAnsi="Times New Roman"/>
          <w:sz w:val="20"/>
        </w:rPr>
        <w:t xml:space="preserve">(e) 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10 days after acceptance of appointment by the successor trustee, the successor trustee shall cause such notice to be transmitted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Merger, Conversion, Consolidation Or Succession To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(including the administration of the trust created by this Indenture), shall be the successor of the Trustee hereunder, provided that such corporation shall be qualified under the provisions of Section 7.8 and eligible under the provisions of Section 7.9,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Preferential Collection Of Claims Against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Notice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Default or any Event of Default occurs and is continuing and if such Default or Event of Default is known to a Responsible Officer of the Trustee, the Trustee shall mail to each Securityholder in the manner and to the extent provided in Section 313(c) of the Trust Indenture Act notice of the Default or Event of Default within 45 days after it occurs, unless such Default or Event of Default has been cured; provided, however, that, except in the case of a default in the payment of the principal of (or premium, if any) or interest on any Security,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Securityholders.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Concerning The Securityholders </w:t>
      </w:r>
    </w:p>
    <w:p>
      <w:pPr>
        <w:pStyle w:val="TextBody"/>
        <w:bidi w:val="0"/>
        <w:spacing w:before="12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Evidence Of Action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Proof Of Execution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7.1, proof of the execution of any instrument by a Securityholder (such proof will not require notarization) or his agent or proxy and proof of the holding by any Person of any of the Securities shall be sufficient if made in the following manner: </w:t>
      </w:r>
    </w:p>
    <w:p>
      <w:pPr>
        <w:pStyle w:val="TextBody"/>
        <w:bidi w:val="0"/>
        <w:spacing w:before="240" w:after="0"/>
        <w:jc w:val="left"/>
        <w:rPr>
          <w:rFonts w:ascii="Times New Roman" w:hAnsi="Times New Roman"/>
          <w:sz w:val="20"/>
        </w:rPr>
      </w:pPr>
      <w:r>
        <w:rPr>
          <w:rFonts w:ascii="Times New Roman" w:hAnsi="Times New Roman"/>
          <w:sz w:val="20"/>
        </w:rPr>
        <w:t xml:space="preserve">(a) The fact and date of the execution by any such Person of any instrument may be proved in any reasonable manner acceptable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(b) The ownership of Securities shall be proved by the Security Register of such Securities or by a certificate of the Security Registrar thereof.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require such additional proof of any matter referred to in this Section as it shall deem necessary.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Who May Be Deemed Owners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2.3) interest on such Security and for all other purposes; and neither the Company nor the Trustee nor any paying agent nor any Security Registrar shall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Section 8.4 </w:t>
      </w:r>
      <w:r>
        <w:rPr>
          <w:rFonts w:ascii="Times New Roman" w:hAnsi="Times New Roman"/>
          <w:sz w:val="20"/>
          <w:u w:val="single"/>
        </w:rPr>
        <w:t>Certain Securities Owned By Company Disregarded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8.5 </w:t>
      </w:r>
      <w:r>
        <w:rPr>
          <w:rFonts w:ascii="Times New Roman" w:hAnsi="Times New Roman"/>
          <w:sz w:val="20"/>
          <w:u w:val="single"/>
        </w:rPr>
        <w:t>Actions Binding On Future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(but not after) the evidencing to the Trustee, as provided in Section 8.1,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written notice with the Trustee, and upon proof of holding as provided in Section 8.2,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Supplemental Indentures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Supplemental Indentures Without The Consent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 </w:t>
      </w:r>
    </w:p>
    <w:p>
      <w:pPr>
        <w:pStyle w:val="TextBody"/>
        <w:bidi w:val="0"/>
        <w:spacing w:before="240" w:after="0"/>
        <w:jc w:val="left"/>
        <w:rPr>
          <w:rFonts w:ascii="Times New Roman" w:hAnsi="Times New Roman"/>
          <w:sz w:val="20"/>
        </w:rPr>
      </w:pPr>
      <w:r>
        <w:rPr>
          <w:rFonts w:ascii="Times New Roman" w:hAnsi="Times New Roman"/>
          <w:sz w:val="20"/>
        </w:rPr>
        <w:t xml:space="preserve">(a) to cure any ambiguity, defect, or inconsistency herein or in the Securities of any series; </w:t>
      </w:r>
    </w:p>
    <w:p>
      <w:pPr>
        <w:pStyle w:val="TextBody"/>
        <w:bidi w:val="0"/>
        <w:spacing w:before="240" w:after="0"/>
        <w:jc w:val="left"/>
        <w:rPr>
          <w:rFonts w:ascii="Times New Roman" w:hAnsi="Times New Roman"/>
          <w:sz w:val="20"/>
        </w:rPr>
      </w:pPr>
      <w:r>
        <w:rPr>
          <w:rFonts w:ascii="Times New Roman" w:hAnsi="Times New Roman"/>
          <w:sz w:val="20"/>
        </w:rPr>
        <w:t xml:space="preserve">(b) to comply with Article X, including to evidence the succession of another Person to the Company and the assumption by any such successor of the covenants of the Company herein and in the Securities contained; </w:t>
      </w:r>
    </w:p>
    <w:p>
      <w:pPr>
        <w:pStyle w:val="TextBody"/>
        <w:bidi w:val="0"/>
        <w:spacing w:before="240" w:after="0"/>
        <w:jc w:val="left"/>
        <w:rPr>
          <w:rFonts w:ascii="Times New Roman" w:hAnsi="Times New Roman"/>
          <w:sz w:val="20"/>
        </w:rPr>
      </w:pPr>
      <w:r>
        <w:rPr>
          <w:rFonts w:ascii="Times New Roman" w:hAnsi="Times New Roman"/>
          <w:sz w:val="20"/>
        </w:rPr>
        <w:t xml:space="preserve">(c) to provide for uncertificated Securities in addition to or in place of certificated Securities; </w:t>
      </w:r>
    </w:p>
    <w:p>
      <w:pPr>
        <w:pStyle w:val="TextBody"/>
        <w:bidi w:val="0"/>
        <w:spacing w:before="240" w:after="0"/>
        <w:jc w:val="left"/>
        <w:rPr>
          <w:rFonts w:ascii="Times New Roman" w:hAnsi="Times New Roman"/>
          <w:sz w:val="20"/>
        </w:rPr>
      </w:pPr>
      <w:r>
        <w:rPr>
          <w:rFonts w:ascii="Times New Roman" w:hAnsi="Times New Roman"/>
          <w:sz w:val="20"/>
        </w:rPr>
        <w:t xml:space="preserve">(d) 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 </w:t>
      </w:r>
    </w:p>
    <w:p>
      <w:pPr>
        <w:pStyle w:val="TextBody"/>
        <w:bidi w:val="0"/>
        <w:spacing w:before="240" w:after="0"/>
        <w:jc w:val="left"/>
        <w:rPr>
          <w:rFonts w:ascii="Times New Roman" w:hAnsi="Times New Roman"/>
          <w:sz w:val="20"/>
        </w:rPr>
      </w:pPr>
      <w:r>
        <w:rPr>
          <w:rFonts w:ascii="Times New Roman" w:hAnsi="Times New Roman"/>
          <w:sz w:val="20"/>
        </w:rPr>
        <w:t xml:space="preserve">(e) to add any additional 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(f) to add to, change or eliminate any of the provisions of this Indenture in respect of one or more series of Securities; provided, however, that any such addition, change or elimination not otherwise permitted under this Section 9.1 shall (i) neither (A) apply to any Security of any series created prior to the execution of such supplemental indenture and entitled to the benefit of such provision nor (B) modify the rights of the Securityholder of any such Security with respect to such provision or (ii) become effective only when there is no such Security outstanding; </w:t>
      </w:r>
    </w:p>
    <w:p>
      <w:pPr>
        <w:pStyle w:val="TextBody"/>
        <w:bidi w:val="0"/>
        <w:spacing w:before="240" w:after="0"/>
        <w:jc w:val="left"/>
        <w:rPr>
          <w:rFonts w:ascii="Times New Roman" w:hAnsi="Times New Roman"/>
          <w:sz w:val="20"/>
        </w:rPr>
      </w:pPr>
      <w:r>
        <w:rPr>
          <w:rFonts w:ascii="Times New Roman" w:hAnsi="Times New Roman"/>
          <w:sz w:val="20"/>
        </w:rPr>
        <w:t xml:space="preserve">(g) to provide for the issuance of and establish the form and terms and conditions of the Securities of any series as provided in Section 2.1, to establish the form of any certifications required to be furnished pursuant to the terms of this Indenture or any series of Securities, or to add to the rights of the holders of any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(h) to evidence and provide for the acceptance of appointment hereunder by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(i) to comply with any requirements of the Securities and Exchange Commission or any successor in connection with the qualification of this Indenture under the Trust Indenture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to add guarantees with respect to any series of Securities or secure any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(k) to comply with the applicable rules or procedures of the Depositary; or </w:t>
      </w:r>
    </w:p>
    <w:p>
      <w:pPr>
        <w:pStyle w:val="TextBody"/>
        <w:bidi w:val="0"/>
        <w:spacing w:before="240" w:after="0"/>
        <w:jc w:val="left"/>
        <w:rPr>
          <w:rFonts w:ascii="Times New Roman" w:hAnsi="Times New Roman"/>
          <w:sz w:val="20"/>
        </w:rPr>
      </w:pPr>
      <w:r>
        <w:rPr>
          <w:rFonts w:ascii="Times New Roman" w:hAnsi="Times New Roman"/>
          <w:sz w:val="20"/>
        </w:rPr>
        <w:t xml:space="preserve">(l) to make any other provisions with respect to matters or questions arising under this Indenture, provided that such action shall not adversely affect the interests of the Securityholders of Securities of any series or any related coupons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supplemental indenture authorized by the provisions of this Section may be executed by the Company and the Trustee without the consent of the holders of any of the Securities at the time Outstanding, notwithstanding any of the provisions of Section 9.2.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Supplemental Indentures With Consent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the consent (evidenced as provided in Section 8.1)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Securityholders of any series affected thereby under this Section to approve the particular form of any proposed supplemental indenture, but it shall be sufficient if such consent shall approve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Effect Of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execution of any supplemental indenture pursuant to the provisions of this Article or of Section 10.1,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Securities Affected By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series affected by a supplemental indenture, authenticated and delivered after the execution of such supplemental indenture pursuant to the provisions of this Article or of Section 10.1,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9.5 </w:t>
      </w:r>
      <w:r>
        <w:rPr>
          <w:rFonts w:ascii="Times New Roman" w:hAnsi="Times New Roman"/>
          <w:sz w:val="20"/>
          <w:u w:val="single"/>
        </w:rPr>
        <w:t>Execution Of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7.1, may receive an Officers’ Certificate or an Opinion of Counsel as conclusive evidence that any supplemental indenture executed pursuant to this Article is authorized or permitted by, and conforms to, the terms of this Article and that it is proper for the Trustee under the provisions of this Article to join in the execution thereof; provided, however, that such Officers’ Certificate or Opinion of Counsel need not be provided in connection with the execution of a supplemental indenture that establishes the terms of a series of Securities pursuant to Section 2.1 hereof.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Successor Entity </w:t>
      </w:r>
    </w:p>
    <w:p>
      <w:pPr>
        <w:pStyle w:val="TextBody"/>
        <w:bidi w:val="0"/>
        <w:spacing w:before="12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Company May Consolidate,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pursuant to Section 2.1 pursuant to a Board Resolution, and set forth in an Officers’ Certificate, or established in one or more indentures supplemental to this Indenture, 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(a)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Successor Entity Substituted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case of any such consolidation, merger, sale, conveyance, transfer or other disposition and upon the assumption by the successor entity by supplemental indenture, executed and delivered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satisfactory in form to the Trustee, of the obligations set forth under Section 10.1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(b) In case of any such consolidation, merger, sale, conveyance, transfer or other disposition, such changes in phraseology and form (but not in substance) may be made in the Securities thereafter to be issued as may be appropriate. </w:t>
      </w:r>
    </w:p>
    <w:p>
      <w:pPr>
        <w:pStyle w:val="TextBody"/>
        <w:bidi w:val="0"/>
        <w:spacing w:before="240" w:after="0"/>
        <w:jc w:val="left"/>
        <w:rPr>
          <w:rFonts w:ascii="Times New Roman" w:hAnsi="Times New Roman"/>
          <w:sz w:val="20"/>
        </w:rPr>
      </w:pPr>
      <w:r>
        <w:rPr>
          <w:rFonts w:ascii="Times New Roman" w:hAnsi="Times New Roman"/>
          <w:sz w:val="20"/>
        </w:rPr>
        <w:t xml:space="preserve">(c) 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Evidence Of Consolidation, Etc. To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subject to the provisions of Section 7.1, may receive an Officers’ Certificate or an Opinion of Counsel as conclusive evidence that any such consolidation, merger, sale, conveyance, transfer or other disposition, and any such assumption, comply with the provisions of this Article.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Satisfaction And Discharge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shall upon Company Request cease to be of further effect with respect to any series of Securities (except as to any surviving rights of registration of transfer or exchange of Securities of such series herein expressly provided for or in the form of Security for such series and any right to receive additional amounts), and the Trustee, at the expense of the Company, shall execute proper instruments acknowledging satisfaction and discharge of this Indenture as to such series, when </w:t>
      </w:r>
    </w:p>
    <w:p>
      <w:pPr>
        <w:pStyle w:val="TextBody"/>
        <w:bidi w:val="0"/>
        <w:spacing w:before="240" w:after="0"/>
        <w:jc w:val="left"/>
        <w:rPr>
          <w:rFonts w:ascii="Times New Roman" w:hAnsi="Times New Roman"/>
          <w:sz w:val="20"/>
        </w:rPr>
      </w:pPr>
      <w:r>
        <w:rPr>
          <w:rFonts w:ascii="Times New Roman" w:hAnsi="Times New Roman"/>
          <w:sz w:val="20"/>
        </w:rPr>
        <w:t xml:space="preserve">(a) either </w:t>
      </w:r>
    </w:p>
    <w:p>
      <w:pPr>
        <w:pStyle w:val="TextBody"/>
        <w:bidi w:val="0"/>
        <w:spacing w:before="120" w:after="0"/>
        <w:jc w:val="left"/>
        <w:rPr>
          <w:rFonts w:ascii="Times New Roman" w:hAnsi="Times New Roman"/>
          <w:sz w:val="20"/>
        </w:rPr>
      </w:pPr>
      <w:r>
        <w:rPr>
          <w:rFonts w:ascii="Times New Roman" w:hAnsi="Times New Roman"/>
          <w:sz w:val="20"/>
        </w:rPr>
        <w:t xml:space="preserve">(i) all Securities of such series theretofore authenticated and delivered (other than (A) Securities which have been destroyed, lost or stolen and which have been replaced or paid as provided in Section 2.7 and (B) Securities for whose payment money has theretofore been deposited in trust or segregated and held in trust by the Company and thereafter repaid to the Company or discharged from such trust, as provided in Sections 11.5, 11.6 and 11.7) have been delivered to the Trustee for cancellation; or </w:t>
      </w:r>
    </w:p>
    <w:p>
      <w:pPr>
        <w:pStyle w:val="TextBody"/>
        <w:bidi w:val="0"/>
        <w:spacing w:before="120" w:after="0"/>
        <w:jc w:val="left"/>
        <w:rPr>
          <w:rFonts w:ascii="Times New Roman" w:hAnsi="Times New Roman"/>
          <w:sz w:val="20"/>
        </w:rPr>
      </w:pPr>
      <w:r>
        <w:rPr>
          <w:rFonts w:ascii="Times New Roman" w:hAnsi="Times New Roman"/>
          <w:sz w:val="20"/>
        </w:rPr>
        <w:t xml:space="preserve">(ii) all such Securities of such series not theretofore delivered to the Trustee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(A) have become due and payable, or </w:t>
      </w:r>
    </w:p>
    <w:p>
      <w:pPr>
        <w:pStyle w:val="TextBody"/>
        <w:bidi w:val="0"/>
        <w:spacing w:before="120" w:after="0"/>
        <w:jc w:val="left"/>
        <w:rPr>
          <w:rFonts w:ascii="Times New Roman" w:hAnsi="Times New Roman"/>
          <w:sz w:val="20"/>
        </w:rPr>
      </w:pPr>
      <w:r>
        <w:rPr>
          <w:rFonts w:ascii="Times New Roman" w:hAnsi="Times New Roman"/>
          <w:sz w:val="20"/>
        </w:rPr>
        <w:t xml:space="preserve">(B) will become due and payable at their Stated Maturity within one year of the date of deposit, or </w:t>
      </w:r>
    </w:p>
    <w:p>
      <w:pPr>
        <w:pStyle w:val="TextBody"/>
        <w:bidi w:val="0"/>
        <w:spacing w:before="120" w:after="0"/>
        <w:jc w:val="left"/>
        <w:rPr>
          <w:rFonts w:ascii="Times New Roman" w:hAnsi="Times New Roman"/>
          <w:sz w:val="20"/>
        </w:rPr>
      </w:pPr>
      <w:r>
        <w:rPr>
          <w:rFonts w:ascii="Times New Roman" w:hAnsi="Times New Roman"/>
          <w:sz w:val="20"/>
        </w:rPr>
        <w:t xml:space="preserve">(C) are to be called for redemption within one year under arrangements satisfactory to the Trustee for the giving of notice of redemption by the Trustee in the name, and at the expense, of the Company, and the Company, in the case of (A), (B) or (C) immediately above, has deposited or caused to be deposited with the Trustee as trust funds in trust for the purpose an amount sufficient to pay and discharge the entire indebtedness on such Securities not theretofore delivered to the Trustee for cancellation, for principal (and premium, if any) and interest, if any, to the date of such deposit (in the case of Securities which have become due and payable), or to the Stated Maturity or the Redemption Date,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has paid or caused to be paid all other sums payable hereunder by the Company with respect to such series; and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delivered to the Trustee an Officers’ Certificate and an Opinion of Counsel, each stating that, with respect to such series, all conditions precedent herein provided for relating to the satisfaction and discharge of this Indenture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satisfaction and discharge of this Indenture with respect to such series, the obligations of the Company to the Trustee with respect to such series under this Section 11.1 and Sections 7.6 and 7.10, the obligations of the Company to any Authenticating Agent under Section 2.10, and, if money shall have been deposited with the Trustee pursuant to subclause (ii) of clause (a) of this Section, the obligations of the Trustee under Section 11.2, 11.5 and Section 11.7, shall survive.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Application Of Trust Money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11.7, all money deposited with the Trustee pursuant to Section 11.1, all money and U.S. Government Obligations deposited with the Trustee (or a successor trustee satisfying the requirements of Section 7.9) pursuant to Section 11.3 and all money received by the Trustee in respect of U.S. Government Obligations deposited with the Trustee pursuant to Section 11.3 shall be held in trust and shall be applied by it, in accordance with the provisions of the series of Securities and this Indenture, to the payment, either directly or through any paying agent as the Trustee may determine, to the Persons entitled thereto, of all sums due and to become due thereon in respect of the principal of (and premium, if any) and interest, if any, on the Securities for which payment of such money has been deposited with the Trustee or to make mandatory sinking fund payments or analogous payments as contemplated by Section 11.3.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Discharge And Defeasance Of Securities Of Any Series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this Section 11.3 is specified to be applicable to the Securities of any series, then, notwithstanding the provisions of Section 11.1, the Company shall be deemed to have paid and discharged the entire indebtedness on all the Outstanding Securities of any such series on the 91st day after the date of the deposit referred to in subparagraph (d) hereof, and the provisions of this Indenture, as it relates to such Outstanding Securities, shall no longer be in effect (and the Trustee, at the expense of the Company, shall, upon Company Request execute proper instruments acknowledging the same), except as to: </w:t>
      </w:r>
    </w:p>
    <w:p>
      <w:pPr>
        <w:pStyle w:val="TextBody"/>
        <w:bidi w:val="0"/>
        <w:spacing w:before="240" w:after="0"/>
        <w:jc w:val="left"/>
        <w:rPr>
          <w:rFonts w:ascii="Times New Roman" w:hAnsi="Times New Roman"/>
          <w:sz w:val="20"/>
        </w:rPr>
      </w:pPr>
      <w:r>
        <w:rPr>
          <w:rFonts w:ascii="Times New Roman" w:hAnsi="Times New Roman"/>
          <w:sz w:val="20"/>
        </w:rPr>
        <w:t xml:space="preserve">(a) the rights of holders of Securities of such series to receive, from the trust funds described in subparagraph (d) hereof, (i) payment of the principal of (and premium, if any) and each installment of principal of (and premium, if any) or interest, if any, on the Outstanding Securities of such series on the Stated Maturity of such principal or installment of principal or interest and (ii) any mandatory sinking fund payments or analogous payments applicable to the Securities of such series on the day on which such payments are due and payable in accordance with the terms of this Indenture and such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(b) the rights, powers, trusts, duties and immunities of the Trustee hereunder with respect to such series, including those set forth in Section 7.6, 7.10, 11.2, 11.5 and 11.7; and </w:t>
      </w:r>
    </w:p>
    <w:p>
      <w:pPr>
        <w:pStyle w:val="TextBody"/>
        <w:bidi w:val="0"/>
        <w:spacing w:before="240" w:after="0"/>
        <w:jc w:val="left"/>
        <w:rPr>
          <w:rFonts w:ascii="Times New Roman" w:hAnsi="Times New Roman"/>
          <w:sz w:val="20"/>
        </w:rPr>
      </w:pPr>
      <w:r>
        <w:rPr>
          <w:rFonts w:ascii="Times New Roman" w:hAnsi="Times New Roman"/>
          <w:sz w:val="20"/>
        </w:rPr>
        <w:t xml:space="preserve">(c) either (i) if this Section 11.3(c)(i) is specified, as contemplated by Section 2.1, to be applicable to the Securities of any series, the Company’s obligations with respect to the Securities of such series under Sections 2.5, 2.6, 2.7, 4.2, 11.2, 11.5, 11.6 and 11.7; or, alternatively, (ii) if this Section 11.3(c)(ii) is specified, as contemplated by Section 2.1, to be applicable to the Securities of any series, the Company’s obligations with respect to such Securities under Sections 2.5, 2.6, 2.7, 4.1, 4.2, 11.2 and 11.7; provided that, the following conditions shall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have irrevocably deposited or caused to be deposited (in accordance with Section 11.2) with the Trustee (or another trustee satisfying the requirements of Section 7.9) as trust funds in trust specifically pledged as security for, and dedicated solely to, the benefit of the Securityholders of the Securities of that series, with reference to this Section 11.3 (i) money in an amount, or (ii) U.S. Government Obligations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through the payment of interest and principal in respect thereof in accordance with their terms will provide not later than one Business Day before the due date of any payment referred to in clause (A) or (B) of this subparagraph (d) money in an amount, or (iii) a combination thereof, sufficient, in the opinion of a nationally recognized firm of independent certified public accountants expressed in a written certification thereof delivered to the Trustee, to pay and discharge (A) the principal of (and premium, if any) and each installment of principal of (and premium, if any) and interest, if any, on the Outstanding Securities of such series on the Stated Maturity of such principal or installment of principal or interest or on the applicable Redemption Date and (B) any mandatory sinking fund payments or analogous payments applicable to the Securities of such series on the day on which such payments are due and payable in accordance with the terms of this Indenture and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(e) such deposit shall not cause the Trustee with respect to the Securities of such series to have a conflicting interest as defined in Section 7.8 or for purposes of the Trust Indenture Act with respect to the Securities of any series; </w:t>
      </w:r>
    </w:p>
    <w:p>
      <w:pPr>
        <w:pStyle w:val="TextBody"/>
        <w:bidi w:val="0"/>
        <w:spacing w:before="240" w:after="0"/>
        <w:jc w:val="left"/>
        <w:rPr>
          <w:rFonts w:ascii="Times New Roman" w:hAnsi="Times New Roman"/>
          <w:sz w:val="20"/>
        </w:rPr>
      </w:pPr>
      <w:r>
        <w:rPr>
          <w:rFonts w:ascii="Times New Roman" w:hAnsi="Times New Roman"/>
          <w:sz w:val="20"/>
        </w:rPr>
        <w:t xml:space="preserve">(f) such deposit will not result in a breach or violation of, or constitute a default under, any applicable laws, this Indenture or any other agreement or instrument to which the Company is a party or by which it is bound; </w:t>
      </w:r>
    </w:p>
    <w:p>
      <w:pPr>
        <w:pStyle w:val="TextBody"/>
        <w:bidi w:val="0"/>
        <w:spacing w:before="240" w:after="0"/>
        <w:jc w:val="left"/>
        <w:rPr>
          <w:rFonts w:ascii="Times New Roman" w:hAnsi="Times New Roman"/>
          <w:sz w:val="20"/>
        </w:rPr>
      </w:pPr>
      <w:r>
        <w:rPr>
          <w:rFonts w:ascii="Times New Roman" w:hAnsi="Times New Roman"/>
          <w:sz w:val="20"/>
        </w:rPr>
        <w:t xml:space="preserve">(g) if this Section 11.3(g) is specified, as contemplated by Section 2.1, to be applicable to the Securities of any series, such provision would not cause any Outstanding Securities of such series then listed on the New York Stock Exchange or other nationally recognized securities exchange to be de-listed as a result thereof; </w:t>
      </w:r>
    </w:p>
    <w:p>
      <w:pPr>
        <w:pStyle w:val="TextBody"/>
        <w:bidi w:val="0"/>
        <w:spacing w:before="240" w:after="0"/>
        <w:jc w:val="left"/>
        <w:rPr>
          <w:rFonts w:ascii="Times New Roman" w:hAnsi="Times New Roman"/>
          <w:sz w:val="20"/>
        </w:rPr>
      </w:pPr>
      <w:r>
        <w:rPr>
          <w:rFonts w:ascii="Times New Roman" w:hAnsi="Times New Roman"/>
          <w:sz w:val="20"/>
        </w:rPr>
        <w:t xml:space="preserve">(h) no Event of Default or event which with the giving of notice or lapse of time or both would become an Event of Default with respect to the Securities of that series shall have occurred and be continuing on the date of such deposit or at any time during the period ending on the 91st day after such date; </w:t>
      </w:r>
    </w:p>
    <w:p>
      <w:pPr>
        <w:pStyle w:val="TextBody"/>
        <w:bidi w:val="0"/>
        <w:spacing w:before="240" w:after="0"/>
        <w:jc w:val="left"/>
        <w:rPr>
          <w:rFonts w:ascii="Times New Roman" w:hAnsi="Times New Roman"/>
          <w:sz w:val="20"/>
        </w:rPr>
      </w:pPr>
      <w:r>
        <w:rPr>
          <w:rFonts w:ascii="Times New Roman" w:hAnsi="Times New Roman"/>
          <w:sz w:val="20"/>
        </w:rPr>
        <w:t xml:space="preserve">(i) the Company has delivered to the Trustee an Opinion of Counsel to the effect that, based upon applicable United States Federal income tax law or a ruling published by the Internal Revenue Service (which opinion, for the purposes contemplated by Section 11.3(c)(i), must be based on a change in applicable United States Federal income tax law after the date of this Indenture or a ruling published by the Internal Revenue Service after the date of this Indenture), the holders of the Securities of such series will not recognize income, gain or loss for United States Federal income tax purposes as a result of such deposit, defeasance and discharge and will be subject to United States Federal income tax on the same amount and in the same manner and at the same times, as would have been the case if such deposit, defeasance and discharge had not occurred; and </w:t>
      </w:r>
    </w:p>
    <w:p>
      <w:pPr>
        <w:pStyle w:val="TextBody"/>
        <w:bidi w:val="0"/>
        <w:spacing w:before="240" w:after="0"/>
        <w:jc w:val="left"/>
        <w:rPr>
          <w:rFonts w:ascii="Times New Roman" w:hAnsi="Times New Roman"/>
          <w:sz w:val="20"/>
        </w:rPr>
      </w:pPr>
      <w:r>
        <w:rPr>
          <w:rFonts w:ascii="Times New Roman" w:hAnsi="Times New Roman"/>
          <w:sz w:val="20"/>
        </w:rPr>
        <w:t xml:space="preserve">(j) the Company has delivered to the Trustee an Officers’ Certificate and an Opinion of Counsel, each stating that all conditions precedent relating to the defeasance contemplated by this Section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11.4 </w:t>
      </w:r>
      <w:r>
        <w:rPr>
          <w:rFonts w:ascii="Times New Roman" w:hAnsi="Times New Roman"/>
          <w:sz w:val="20"/>
          <w:u w:val="single"/>
        </w:rPr>
        <w:t>Reinstatement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is unable to apply any money in accordance with Section 11.3 by reason of any order or judgment of any court or governmental authority enjoining, restraining or otherwise prohibiting such application, then the Company’s obligations under this Indenture and the Securities of such series shall be revived and reinstated as though no deposit had occurred pursuant to Section 11.3 until such time as the Trustee is permitted to apply all such money in accordance with Section 11.3; provided, however, that if the Company makes any payment of principal of (and premium, if any) or interest on any Security following the reinstatement of its obligations, the Company shall be subrogated to the rights of the holders of the Securities of such series to receive such payment from the money held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11.5 </w:t>
      </w:r>
      <w:r>
        <w:rPr>
          <w:rFonts w:ascii="Times New Roman" w:hAnsi="Times New Roman"/>
          <w:sz w:val="20"/>
          <w:u w:val="single"/>
        </w:rPr>
        <w:t>Deposited Moneys To Be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moneys or Governmental Obligations deposited with the Trustee pursuant to Sections 11.1 or 11.3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11.6 </w:t>
      </w:r>
      <w:r>
        <w:rPr>
          <w:rFonts w:ascii="Times New Roman" w:hAnsi="Times New Roman"/>
          <w:sz w:val="20"/>
          <w:u w:val="single"/>
        </w:rPr>
        <w:t>Payment Of Moneys Held By Paying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11.7 </w:t>
      </w:r>
      <w:r>
        <w:rPr>
          <w:rFonts w:ascii="Times New Roman" w:hAnsi="Times New Roman"/>
          <w:sz w:val="20"/>
          <w:u w:val="single"/>
        </w:rPr>
        <w:t>Repayment To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[______] of each year or upon the Company’s request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0" w:after="0"/>
        <w:jc w:val="center"/>
        <w:rPr>
          <w:rFonts w:ascii="Times New Roman" w:hAnsi="Times New Roman"/>
          <w:b/>
          <w:sz w:val="20"/>
        </w:rPr>
      </w:pPr>
      <w:r>
        <w:rPr>
          <w:rFonts w:ascii="Times New Roman" w:hAnsi="Times New Roman"/>
          <w:b/>
          <w:sz w:val="20"/>
        </w:rPr>
        <w:t xml:space="preserve">Immunity Of Incorporators,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Officers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12.1 </w:t>
      </w:r>
      <w:r>
        <w:rPr>
          <w:rFonts w:ascii="Times New Roman" w:hAnsi="Times New Roman"/>
          <w:sz w:val="20"/>
          <w:u w:val="single"/>
        </w:rPr>
        <w:t>No Recourse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13.1 </w:t>
      </w:r>
      <w:r>
        <w:rPr>
          <w:rFonts w:ascii="Times New Roman" w:hAnsi="Times New Roman"/>
          <w:sz w:val="20"/>
          <w:u w:val="single"/>
        </w:rPr>
        <w:t>Effect On 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the covenants, stipulations, promises and agreements in this Indenture made by or on behalf of the Company shall bind its successors and assigns, whether so expressed or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13.2 </w:t>
      </w:r>
      <w:r>
        <w:rPr>
          <w:rFonts w:ascii="Times New Roman" w:hAnsi="Times New Roman"/>
          <w:sz w:val="20"/>
          <w:u w:val="single"/>
        </w:rPr>
        <w:t>Actions By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13.3 </w:t>
      </w:r>
      <w:r>
        <w:rPr>
          <w:rFonts w:ascii="Times New Roman" w:hAnsi="Times New Roman"/>
          <w:sz w:val="20"/>
          <w:u w:val="single"/>
        </w:rPr>
        <w:t>Surrender Of Company Powers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13.4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(until another address is filed in writing by the Company with the Trustee), as follows: The Macerich Company, 401 Wilshire Boulevard, Suite 700, Santa Monica, California 90401, Attention: Chief Legal Officer.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13.5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and each Security shall be deemed to be a contract made under the internal laws of the State of New York, and for all purposes shall be construed in accordance with the laws of said State, except to the extent that the Trust Indenture Act is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13.6 </w:t>
      </w:r>
      <w:r>
        <w:rPr>
          <w:rFonts w:ascii="Times New Roman" w:hAnsi="Times New Roman"/>
          <w:sz w:val="20"/>
          <w:u w:val="single"/>
        </w:rPr>
        <w:t>Treatment Of Securities As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 is intended that the Securities will be treated as indebtedness and not as equity for federal income tax purposes. The provisions of this Indenture shall be interpreted to further this intention. </w:t>
      </w:r>
    </w:p>
    <w:p>
      <w:pPr>
        <w:pStyle w:val="TextBody"/>
        <w:bidi w:val="0"/>
        <w:spacing w:before="240" w:after="0"/>
        <w:jc w:val="left"/>
        <w:rPr>
          <w:rFonts w:ascii="Times New Roman" w:hAnsi="Times New Roman"/>
          <w:sz w:val="20"/>
        </w:rPr>
      </w:pPr>
      <w:r>
        <w:rPr>
          <w:rFonts w:ascii="Times New Roman" w:hAnsi="Times New Roman"/>
          <w:sz w:val="20"/>
        </w:rPr>
        <w:t xml:space="preserve">Section 13.7 Compliance Certificates And Opinions. </w:t>
      </w:r>
    </w:p>
    <w:p>
      <w:pPr>
        <w:pStyle w:val="TextBody"/>
        <w:bidi w:val="0"/>
        <w:spacing w:before="240" w:after="0"/>
        <w:jc w:val="left"/>
        <w:rPr>
          <w:rFonts w:ascii="Times New Roman" w:hAnsi="Times New Roman"/>
          <w:sz w:val="20"/>
        </w:rPr>
      </w:pPr>
      <w:r>
        <w:rPr>
          <w:rFonts w:ascii="Times New Roman" w:hAnsi="Times New Roman"/>
          <w:sz w:val="20"/>
        </w:rPr>
        <w:t xml:space="preserve">(a) 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 </w:t>
      </w:r>
    </w:p>
    <w:p>
      <w:pPr>
        <w:pStyle w:val="TextBody"/>
        <w:bidi w:val="0"/>
        <w:spacing w:before="240" w:after="0"/>
        <w:jc w:val="left"/>
        <w:rPr>
          <w:rFonts w:ascii="Times New Roman" w:hAnsi="Times New Roman"/>
          <w:sz w:val="20"/>
        </w:rPr>
      </w:pPr>
      <w:r>
        <w:rPr>
          <w:rFonts w:ascii="Times New Roman" w:hAnsi="Times New Roman"/>
          <w:sz w:val="20"/>
        </w:rPr>
        <w:t xml:space="preserve">(b) Each certificate or opinion provided for in this Indenture and delivered to the Trustee with respect to compliance with a condition or covenant in this Indenture shall, in accordance with the provisions of Section 314(e) of the Trust Indenture Act,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necessary to enable him to express an informed opinion as to whether or not such covenant or condition has been complied with; and (iv) a statement as to whether or not, in the opinion of such Person, such condition or covenant has been complied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13.8 </w:t>
      </w:r>
      <w:r>
        <w:rPr>
          <w:rFonts w:ascii="Times New Roman" w:hAnsi="Times New Roman"/>
          <w:sz w:val="20"/>
          <w:u w:val="single"/>
        </w:rPr>
        <w:t>Payments On Business Days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pursuant to Section 2.1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 </w:t>
      </w:r>
    </w:p>
    <w:p>
      <w:pPr>
        <w:pStyle w:val="TextBody"/>
        <w:bidi w:val="0"/>
        <w:spacing w:before="240" w:after="0"/>
        <w:jc w:val="left"/>
        <w:rPr>
          <w:rFonts w:ascii="Times New Roman" w:hAnsi="Times New Roman"/>
          <w:sz w:val="20"/>
        </w:rPr>
      </w:pPr>
      <w:r>
        <w:rPr>
          <w:rFonts w:ascii="Times New Roman" w:hAnsi="Times New Roman"/>
          <w:sz w:val="20"/>
        </w:rPr>
        <w:t xml:space="preserve">Section 13.9 </w:t>
      </w:r>
      <w:r>
        <w:rPr>
          <w:rFonts w:ascii="Times New Roman" w:hAnsi="Times New Roman"/>
          <w:sz w:val="20"/>
          <w:u w:val="single"/>
        </w:rPr>
        <w:t>Conflict With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and to the extent that any provision of this Indenture limits, qualifies or conflicts with the duties imposed by Sections 310 to 317, inclusive, of the Trust Indenture Act, such imposed duties shall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13.10 </w:t>
      </w:r>
      <w:r>
        <w:rPr>
          <w:rFonts w:ascii="Times New Roman" w:hAnsi="Times New Roman"/>
          <w:sz w:val="20"/>
          <w:u w:val="single"/>
        </w:rPr>
        <w:t>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be executed in any number of counterparts, each of which shall be an original, but such counterparts shall together constitute but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13.11 </w:t>
      </w:r>
      <w:r>
        <w:rPr>
          <w:rFonts w:ascii="Times New Roman" w:hAnsi="Times New Roman"/>
          <w:sz w:val="20"/>
          <w:u w:val="single"/>
        </w:rPr>
        <w:t>Separability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13.12 </w:t>
      </w:r>
      <w:r>
        <w:rPr>
          <w:rFonts w:ascii="Times New Roman" w:hAnsi="Times New Roman"/>
          <w:sz w:val="20"/>
          <w:u w:val="single"/>
        </w:rPr>
        <w:t>Table Of Contents, Headings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Table of Contents and headings of the Articles and Sections of this Indenture have been inserted for convenience of reference only, are not to be considered a part hereof, and shall in no way modify or restrict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13.13 </w:t>
      </w:r>
      <w:r>
        <w:rPr>
          <w:rFonts w:ascii="Times New Roman" w:hAnsi="Times New Roman"/>
          <w:sz w:val="20"/>
          <w:u w:val="single"/>
        </w:rPr>
        <w:t>Securities In A Foreign Currency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a Board Resolution, a supplemental indenture hereto or an Officers’ Certificate delivered pursuant to Section 2.1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2.1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U.S. dollars in connection with any action taken by holders of Securities pursuant to the terms of this Indenture. All decisions and determinations provided for in this paragraph shall, in the absence of manifest error, to the extent permitted by law, be conclusive for all purposes and irrevocably binding upon the Trustee and all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13.14 </w:t>
      </w:r>
      <w:r>
        <w:rPr>
          <w:rFonts w:ascii="Times New Roman" w:hAnsi="Times New Roman"/>
          <w:sz w:val="20"/>
          <w:u w:val="single"/>
        </w:rPr>
        <w:t>U.S.A. Patriot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Trustee. The parties to this Indenture agree that they will provide the Trustee with such information as it may request in order for the Trustee to satisfy the requirements of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13.15 </w:t>
      </w:r>
      <w:r>
        <w:rPr>
          <w:rFonts w:ascii="Times New Roman" w:hAnsi="Times New Roman"/>
          <w:sz w:val="20"/>
          <w:u w:val="single"/>
        </w:rPr>
        <w:t>Compliance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Securities of a series are outstanding, the Company shall deliver to the Trustee, within 120 days after the end of each fiscal year of the Company, an Officers’ Certificate (which need not contain the statements provided for in Section 13.7) from its principal executive officer, principal financial officer or principal accounting officer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his or her knowledge the Company is not in default in the performance or observance of any of the terms, provisions and conditions hereof (or, if a Default or Event of Default shall have occurred, describing all such Defaults or Events of Default of which the Officer has knowledge). Such Officers’ Certificate need not include a reference to any non-compliance that has been fully cured prior to the date as of which such certificate speaks.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Indenture to be duly executed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06"/>
        <w:gridCol w:w="87"/>
        <w:gridCol w:w="3489"/>
      </w:tblGrid>
      <w:tr>
        <w:trPr/>
        <w:tc>
          <w:tcPr>
            <w:tcW w:w="506"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348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MACERICH COMPANY</w:t>
            </w:r>
          </w:p>
        </w:tc>
      </w:tr>
      <w:tr>
        <w:trPr>
          <w:trHeight w:val="240" w:hRule="atLeast"/>
        </w:trPr>
        <w:tc>
          <w:tcPr>
            <w:tcW w:w="506" w:type="dxa"/>
            <w:tcBorders/>
            <w:vAlign w:val="center"/>
          </w:tcPr>
          <w:p>
            <w:pPr>
              <w:pStyle w:val="TableContents"/>
              <w:bidi w:val="0"/>
              <w:spacing w:before="0" w:after="283"/>
              <w:jc w:val="left"/>
              <w:rPr>
                <w:sz w:val="4"/>
                <w:szCs w:val="4"/>
              </w:rPr>
            </w:pPr>
            <w:r>
              <w:rPr>
                <w:sz w:val="4"/>
                <w:szCs w:val="4"/>
              </w:rPr>
            </w:r>
          </w:p>
        </w:tc>
        <w:tc>
          <w:tcPr>
            <w:tcW w:w="3576" w:type="dxa"/>
            <w:gridSpan w:val="2"/>
            <w:tcBorders/>
            <w:vAlign w:val="center"/>
          </w:tcPr>
          <w:p>
            <w:pPr>
              <w:pStyle w:val="TableContents"/>
              <w:bidi w:val="0"/>
              <w:spacing w:before="0" w:after="283"/>
              <w:jc w:val="left"/>
              <w:rPr>
                <w:sz w:val="4"/>
                <w:szCs w:val="4"/>
              </w:rPr>
            </w:pPr>
            <w:r>
              <w:rPr>
                <w:sz w:val="4"/>
                <w:szCs w:val="4"/>
              </w:rPr>
            </w:r>
          </w:p>
        </w:tc>
      </w:tr>
      <w:tr>
        <w:trPr/>
        <w:tc>
          <w:tcPr>
            <w:tcW w:w="506" w:type="dxa"/>
            <w:tcBorders/>
          </w:tcPr>
          <w:p>
            <w:pPr>
              <w:pStyle w:val="TableContents"/>
              <w:bidi w:val="0"/>
              <w:spacing w:before="0" w:after="283"/>
              <w:jc w:val="left"/>
              <w:rPr/>
            </w:pPr>
            <w:r>
              <w:rPr/>
              <w:t>By:</w:t>
            </w:r>
          </w:p>
        </w:tc>
        <w:tc>
          <w:tcPr>
            <w:tcW w:w="87" w:type="dxa"/>
            <w:tcBorders/>
            <w:vAlign w:val="bottom"/>
          </w:tcPr>
          <w:p>
            <w:pPr>
              <w:pStyle w:val="TableContents"/>
              <w:bidi w:val="0"/>
              <w:spacing w:before="0" w:after="283"/>
              <w:jc w:val="left"/>
              <w:rPr/>
            </w:pPr>
            <w:r>
              <w:rPr/>
              <w:t> </w:t>
            </w:r>
          </w:p>
        </w:tc>
        <w:tc>
          <w:tcPr>
            <w:tcW w:w="3489" w:type="dxa"/>
            <w:tcBorders/>
          </w:tcPr>
          <w:p>
            <w:pPr>
              <w:pStyle w:val="TableContents"/>
              <w:pBdr>
                <w:bottom w:val="single" w:sz="2" w:space="1" w:color="000000"/>
              </w:pBdr>
              <w:bidi w:val="0"/>
              <w:spacing w:before="0" w:after="20"/>
              <w:jc w:val="left"/>
              <w:rPr/>
            </w:pPr>
            <w:r>
              <w:rPr/>
              <w:t> </w:t>
            </w:r>
          </w:p>
        </w:tc>
      </w:tr>
      <w:tr>
        <w:trPr/>
        <w:tc>
          <w:tcPr>
            <w:tcW w:w="506"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489" w:type="dxa"/>
            <w:tcBorders/>
          </w:tcPr>
          <w:p>
            <w:pPr>
              <w:pStyle w:val="TableContents"/>
              <w:bidi w:val="0"/>
              <w:spacing w:before="0" w:after="283"/>
              <w:jc w:val="left"/>
              <w:rPr/>
            </w:pPr>
            <w:r>
              <w:rPr/>
              <w:t>Name:</w:t>
            </w:r>
          </w:p>
        </w:tc>
      </w:tr>
      <w:tr>
        <w:trPr/>
        <w:tc>
          <w:tcPr>
            <w:tcW w:w="506"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489"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w:t>
            </w:r>
          </w:p>
          <w:p>
            <w:pPr>
              <w:pStyle w:val="TableContents"/>
              <w:bidi w:val="0"/>
              <w:spacing w:before="0" w:after="20"/>
              <w:jc w:val="left"/>
              <w:rPr/>
            </w:pPr>
            <w:r>
              <w:rPr/>
              <w:t>   </w:t>
            </w:r>
            <w:r>
              <w:rPr>
                <w:rFonts w:ascii="Times New Roman" w:hAnsi="Times New Roman"/>
                <w:sz w:val="20"/>
              </w:rPr>
              <w:t>as Trustee</w:t>
            </w:r>
          </w:p>
        </w:tc>
      </w:tr>
      <w:tr>
        <w:trPr>
          <w:trHeight w:val="240" w:hRule="atLeast"/>
        </w:trPr>
        <w:tc>
          <w:tcPr>
            <w:tcW w:w="506" w:type="dxa"/>
            <w:tcBorders/>
            <w:vAlign w:val="center"/>
          </w:tcPr>
          <w:p>
            <w:pPr>
              <w:pStyle w:val="TableContents"/>
              <w:bidi w:val="0"/>
              <w:spacing w:before="0" w:after="283"/>
              <w:jc w:val="left"/>
              <w:rPr>
                <w:sz w:val="4"/>
                <w:szCs w:val="4"/>
              </w:rPr>
            </w:pPr>
            <w:r>
              <w:rPr>
                <w:sz w:val="4"/>
                <w:szCs w:val="4"/>
              </w:rPr>
            </w:r>
          </w:p>
        </w:tc>
        <w:tc>
          <w:tcPr>
            <w:tcW w:w="3576" w:type="dxa"/>
            <w:gridSpan w:val="2"/>
            <w:tcBorders/>
            <w:vAlign w:val="center"/>
          </w:tcPr>
          <w:p>
            <w:pPr>
              <w:pStyle w:val="TableContents"/>
              <w:bidi w:val="0"/>
              <w:spacing w:before="0" w:after="283"/>
              <w:jc w:val="left"/>
              <w:rPr>
                <w:sz w:val="4"/>
                <w:szCs w:val="4"/>
              </w:rPr>
            </w:pPr>
            <w:r>
              <w:rPr>
                <w:sz w:val="4"/>
                <w:szCs w:val="4"/>
              </w:rPr>
            </w:r>
          </w:p>
        </w:tc>
      </w:tr>
      <w:tr>
        <w:trPr/>
        <w:tc>
          <w:tcPr>
            <w:tcW w:w="506" w:type="dxa"/>
            <w:tcBorders/>
          </w:tcPr>
          <w:p>
            <w:pPr>
              <w:pStyle w:val="TableContents"/>
              <w:bidi w:val="0"/>
              <w:spacing w:before="0" w:after="283"/>
              <w:jc w:val="left"/>
              <w:rPr/>
            </w:pPr>
            <w:r>
              <w:rPr/>
              <w:t>By:</w:t>
            </w:r>
          </w:p>
        </w:tc>
        <w:tc>
          <w:tcPr>
            <w:tcW w:w="87" w:type="dxa"/>
            <w:tcBorders/>
            <w:vAlign w:val="bottom"/>
          </w:tcPr>
          <w:p>
            <w:pPr>
              <w:pStyle w:val="TableContents"/>
              <w:bidi w:val="0"/>
              <w:spacing w:before="0" w:after="283"/>
              <w:jc w:val="left"/>
              <w:rPr/>
            </w:pPr>
            <w:r>
              <w:rPr/>
              <w:t> </w:t>
            </w:r>
          </w:p>
        </w:tc>
        <w:tc>
          <w:tcPr>
            <w:tcW w:w="3489" w:type="dxa"/>
            <w:tcBorders/>
          </w:tcPr>
          <w:p>
            <w:pPr>
              <w:pStyle w:val="TableContents"/>
              <w:pBdr>
                <w:bottom w:val="single" w:sz="2" w:space="1" w:color="000000"/>
              </w:pBdr>
              <w:bidi w:val="0"/>
              <w:spacing w:before="0" w:after="20"/>
              <w:jc w:val="left"/>
              <w:rPr/>
            </w:pPr>
            <w:r>
              <w:rPr/>
              <w:t> </w:t>
            </w:r>
          </w:p>
        </w:tc>
      </w:tr>
      <w:tr>
        <w:trPr/>
        <w:tc>
          <w:tcPr>
            <w:tcW w:w="506"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489" w:type="dxa"/>
            <w:tcBorders/>
          </w:tcPr>
          <w:p>
            <w:pPr>
              <w:pStyle w:val="TableContents"/>
              <w:bidi w:val="0"/>
              <w:spacing w:before="0" w:after="283"/>
              <w:jc w:val="left"/>
              <w:rPr/>
            </w:pPr>
            <w:r>
              <w:rPr/>
              <w:t>Name:</w:t>
            </w:r>
          </w:p>
        </w:tc>
      </w:tr>
      <w:tr>
        <w:trPr/>
        <w:tc>
          <w:tcPr>
            <w:tcW w:w="506"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489"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p>
    <w:p>
      <w:pPr>
        <w:pStyle w:val="TextBody"/>
        <w:bidi w:val="0"/>
        <w:spacing w:before="0" w:after="0"/>
        <w:jc w:val="right"/>
        <w:rPr>
          <w:rFonts w:ascii="Times New Roman" w:hAnsi="Times New Roman"/>
          <w:b/>
          <w:sz w:val="20"/>
        </w:rPr>
      </w:pPr>
      <w:bookmarkStart w:id="26" w:name="d158325dex421.htm"/>
      <w:bookmarkStart w:id="27" w:name="ksd158325dex421"/>
      <w:bookmarkEnd w:id="26"/>
      <w:bookmarkEnd w:id="27"/>
      <w:r>
        <w:rPr>
          <w:rFonts w:ascii="Times New Roman" w:hAnsi="Times New Roman"/>
          <w:b/>
          <w:sz w:val="20"/>
        </w:rPr>
        <w:t xml:space="preserve">Exhibit 4.21 </w:t>
      </w:r>
      <w:r>
        <w:br w:type="page"/>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MACERICH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Issuer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[__________________________________] </w:t>
      </w:r>
    </w:p>
    <w:p>
      <w:pPr>
        <w:pStyle w:val="TextBody"/>
        <w:bidi w:val="0"/>
        <w:spacing w:before="240" w:after="0"/>
        <w:jc w:val="center"/>
        <w:rPr>
          <w:rFonts w:ascii="Times New Roman" w:hAnsi="Times New Roman"/>
          <w:b/>
          <w:sz w:val="20"/>
        </w:rPr>
      </w:pPr>
      <w:r>
        <w:rPr>
          <w:rFonts w:ascii="Times New Roman" w:hAnsi="Times New Roman"/>
          <w:b/>
          <w:sz w:val="20"/>
        </w:rPr>
        <w:t xml:space="preserve">Trustee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 20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Subordinated Debt Securities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59"/>
        <w:gridCol w:w="76"/>
        <w:gridCol w:w="8159"/>
        <w:gridCol w:w="133"/>
        <w:gridCol w:w="96"/>
        <w:gridCol w:w="419"/>
        <w:gridCol w:w="63"/>
      </w:tblGrid>
      <w:tr>
        <w:trPr/>
        <w:tc>
          <w:tcPr>
            <w:tcW w:w="1259"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8159"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94" w:type="dxa"/>
            <w:gridSpan w:val="3"/>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949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Definitions Of Terms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494" w:type="dxa"/>
            <w:gridSpan w:val="3"/>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949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Issue, Description, Terms, Execution, Registration And Exchange Of Securities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Designation And Terms Of Securities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Form Of Securities And Trustee’s Certificate</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Denominations; Provisions For Payment</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Execution And Authentications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Registration Of Transfer And Exchange</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Temporary Securities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Mutilated, Destroyed, Lost Or Stolen Securities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Cancellation</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2.9</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Benefits Of Indenture</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Authenticating Agent</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Global Securities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CUSIP Numbers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9494" w:type="dxa"/>
            <w:gridSpan w:val="3"/>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949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Redemption Of Securities And Sinking Fund Provisions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Redemption</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Notice Of Redemption</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Payment Upon Redemption</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Sinking Fund</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Satisfaction Of Sinking Fund Payments With Securities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Redemption Of Securities For Sinking Fund</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9494" w:type="dxa"/>
            <w:gridSpan w:val="3"/>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949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Covenants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Payment Of Principal, Premium And Interest</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Maintenance Of Office Or Agency</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Paying Agents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Appointment To Fill Vacancy In Office Of Trustee</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Compliance With Consolidation Provisions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494" w:type="dxa"/>
            <w:gridSpan w:val="3"/>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949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Securityholders’ Lists And Reports By The Company And The Trustee</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Company To Furnish Trustee Names And Addresses Of Securityholders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Preservation Of Information; Communications With Securityholders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Reports By The Company</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Reports By The Trustee</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9494" w:type="dxa"/>
            <w:gridSpan w:val="3"/>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949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Remedies Of The Trustee And Securityholders On Event Of Default</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Events Of Default</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1259"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76" w:type="dxa"/>
            <w:tcBorders/>
            <w:vAlign w:val="bottom"/>
          </w:tcPr>
          <w:p>
            <w:pPr>
              <w:pStyle w:val="TableContents"/>
              <w:bidi w:val="0"/>
              <w:spacing w:before="0" w:after="283"/>
              <w:jc w:val="left"/>
              <w:rPr/>
            </w:pPr>
            <w:r>
              <w:rPr/>
              <w:t> </w:t>
            </w:r>
          </w:p>
        </w:tc>
        <w:tc>
          <w:tcPr>
            <w:tcW w:w="8159" w:type="dxa"/>
            <w:tcBorders/>
            <w:vAlign w:val="bottom"/>
          </w:tcPr>
          <w:p>
            <w:pPr>
              <w:pStyle w:val="TableContents"/>
              <w:bidi w:val="0"/>
              <w:spacing w:before="0" w:after="283"/>
              <w:jc w:val="left"/>
              <w:rPr/>
            </w:pPr>
            <w:r>
              <w:rPr/>
              <w:t>Collection Of Indebtedness And Suits For Enforcement By Trustee</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60"/>
        <w:gridCol w:w="84"/>
        <w:gridCol w:w="8240"/>
        <w:gridCol w:w="137"/>
        <w:gridCol w:w="60"/>
        <w:gridCol w:w="260"/>
        <w:gridCol w:w="64"/>
      </w:tblGrid>
      <w:tr>
        <w:trPr/>
        <w:tc>
          <w:tcPr>
            <w:tcW w:w="1360"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824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Application Of Moneys Collected</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Limitation On Suits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Rights And Remedies Cumulative; Delay Or Omission Not Waiver</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Control By Securityholders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Undertaking To Pay Costs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9684" w:type="dxa"/>
            <w:gridSpan w:val="3"/>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968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Concerning The Trustee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Certain Duties And Responsibilities Of Trustee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Certain Rights Of Trustee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Trustee Not Responsible For Recitals Or Issuance Or Securities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May Hold Securities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Moneys Held In Trust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Compensation And Reimbursement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Reliance On Officers’ Certificate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Disqualification; Conflicting Interests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Corporate Trustee Required; Eligibility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Resignation And Removal; Appointment Of Successor</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Acceptance Of Appointment By Successor</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Merger, Conversion, Consolidation Or Succession To Business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Preferential Collection Of Claims Against The Company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Notice Of Default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rHeight w:val="120" w:hRule="atLeast"/>
        </w:trPr>
        <w:tc>
          <w:tcPr>
            <w:tcW w:w="9684" w:type="dxa"/>
            <w:gridSpan w:val="3"/>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968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Concerning The Securityholders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Evidence Of Action By Securityholders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Proof Of Execution By Securityholders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Who May Be Deemed Owners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8.4</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Certain Securities Owned By Company Disregarded</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8.5</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Actions Binding On Future Securityholders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120" w:hRule="atLeast"/>
        </w:trPr>
        <w:tc>
          <w:tcPr>
            <w:tcW w:w="9684" w:type="dxa"/>
            <w:gridSpan w:val="3"/>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968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Supplemental Indentures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28</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Supplemental Indentures Without The Consent Of Securityholders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Supplemental Indentures With Consent Of Securityholders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Effect Of Supplemental Indentures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Securities Affected By Supplemental Indentures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Execution Of Supplemental Indentures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rHeight w:val="120" w:hRule="atLeast"/>
        </w:trPr>
        <w:tc>
          <w:tcPr>
            <w:tcW w:w="9684" w:type="dxa"/>
            <w:gridSpan w:val="3"/>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968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Successor Entity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30</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Company May Consolidate, Etc.</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Successor Entity Substituted</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Evidence Of Consolidation, Etc. To Trustee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rHeight w:val="120" w:hRule="atLeast"/>
        </w:trPr>
        <w:tc>
          <w:tcPr>
            <w:tcW w:w="9684" w:type="dxa"/>
            <w:gridSpan w:val="3"/>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968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 Satisfaction And Discharge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31</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Satisfaction And Discharge Of Indenture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rHeight w:val="120" w:hRule="atLeast"/>
        </w:trPr>
        <w:tc>
          <w:tcPr>
            <w:tcW w:w="1360"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1360"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84"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Application Of Trust Money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64"/>
        <w:gridCol w:w="93"/>
        <w:gridCol w:w="8022"/>
        <w:gridCol w:w="143"/>
        <w:gridCol w:w="60"/>
        <w:gridCol w:w="260"/>
        <w:gridCol w:w="63"/>
      </w:tblGrid>
      <w:tr>
        <w:trPr/>
        <w:tc>
          <w:tcPr>
            <w:tcW w:w="1564"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8022"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8115"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93" w:type="dxa"/>
            <w:tcBorders/>
            <w:vAlign w:val="bottom"/>
          </w:tcPr>
          <w:p>
            <w:pPr>
              <w:pStyle w:val="TableContents"/>
              <w:bidi w:val="0"/>
              <w:spacing w:before="0" w:after="283"/>
              <w:jc w:val="left"/>
              <w:rPr/>
            </w:pPr>
            <w:r>
              <w:rPr/>
              <w:t> </w:t>
            </w:r>
          </w:p>
        </w:tc>
        <w:tc>
          <w:tcPr>
            <w:tcW w:w="8022" w:type="dxa"/>
            <w:tcBorders/>
            <w:vAlign w:val="bottom"/>
          </w:tcPr>
          <w:p>
            <w:pPr>
              <w:pStyle w:val="TableContents"/>
              <w:bidi w:val="0"/>
              <w:spacing w:before="0" w:after="283"/>
              <w:jc w:val="left"/>
              <w:rPr/>
            </w:pPr>
            <w:r>
              <w:rPr/>
              <w:t>Discharge And Defeasance Of Securities Of Any Series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8115"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11.4</w:t>
            </w:r>
          </w:p>
        </w:tc>
        <w:tc>
          <w:tcPr>
            <w:tcW w:w="93" w:type="dxa"/>
            <w:tcBorders/>
            <w:vAlign w:val="bottom"/>
          </w:tcPr>
          <w:p>
            <w:pPr>
              <w:pStyle w:val="TableContents"/>
              <w:bidi w:val="0"/>
              <w:spacing w:before="0" w:after="283"/>
              <w:jc w:val="left"/>
              <w:rPr/>
            </w:pPr>
            <w:r>
              <w:rPr/>
              <w:t> </w:t>
            </w:r>
          </w:p>
        </w:tc>
        <w:tc>
          <w:tcPr>
            <w:tcW w:w="8022" w:type="dxa"/>
            <w:tcBorders/>
            <w:vAlign w:val="bottom"/>
          </w:tcPr>
          <w:p>
            <w:pPr>
              <w:pStyle w:val="TableContents"/>
              <w:bidi w:val="0"/>
              <w:spacing w:before="0" w:after="283"/>
              <w:jc w:val="left"/>
              <w:rPr/>
            </w:pPr>
            <w:r>
              <w:rPr/>
              <w:t>Reinstatement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8115"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11.5</w:t>
            </w:r>
          </w:p>
        </w:tc>
        <w:tc>
          <w:tcPr>
            <w:tcW w:w="93" w:type="dxa"/>
            <w:tcBorders/>
            <w:vAlign w:val="bottom"/>
          </w:tcPr>
          <w:p>
            <w:pPr>
              <w:pStyle w:val="TableContents"/>
              <w:bidi w:val="0"/>
              <w:spacing w:before="0" w:after="283"/>
              <w:jc w:val="left"/>
              <w:rPr/>
            </w:pPr>
            <w:r>
              <w:rPr/>
              <w:t> </w:t>
            </w:r>
          </w:p>
        </w:tc>
        <w:tc>
          <w:tcPr>
            <w:tcW w:w="8022" w:type="dxa"/>
            <w:tcBorders/>
            <w:vAlign w:val="bottom"/>
          </w:tcPr>
          <w:p>
            <w:pPr>
              <w:pStyle w:val="TableContents"/>
              <w:bidi w:val="0"/>
              <w:spacing w:before="0" w:after="283"/>
              <w:jc w:val="left"/>
              <w:rPr/>
            </w:pPr>
            <w:r>
              <w:rPr/>
              <w:t>Deposited Moneys To Be Held In Trust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8115"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11.6</w:t>
            </w:r>
          </w:p>
        </w:tc>
        <w:tc>
          <w:tcPr>
            <w:tcW w:w="93" w:type="dxa"/>
            <w:tcBorders/>
            <w:vAlign w:val="bottom"/>
          </w:tcPr>
          <w:p>
            <w:pPr>
              <w:pStyle w:val="TableContents"/>
              <w:bidi w:val="0"/>
              <w:spacing w:before="0" w:after="283"/>
              <w:jc w:val="left"/>
              <w:rPr/>
            </w:pPr>
            <w:r>
              <w:rPr/>
              <w:t> </w:t>
            </w:r>
          </w:p>
        </w:tc>
        <w:tc>
          <w:tcPr>
            <w:tcW w:w="8022" w:type="dxa"/>
            <w:tcBorders/>
            <w:vAlign w:val="bottom"/>
          </w:tcPr>
          <w:p>
            <w:pPr>
              <w:pStyle w:val="TableContents"/>
              <w:bidi w:val="0"/>
              <w:spacing w:before="0" w:after="283"/>
              <w:jc w:val="left"/>
              <w:rPr/>
            </w:pPr>
            <w:r>
              <w:rPr/>
              <w:t>Payment Of Moneys Held By Paying Agents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8115"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11.7</w:t>
            </w:r>
          </w:p>
        </w:tc>
        <w:tc>
          <w:tcPr>
            <w:tcW w:w="93" w:type="dxa"/>
            <w:tcBorders/>
            <w:vAlign w:val="bottom"/>
          </w:tcPr>
          <w:p>
            <w:pPr>
              <w:pStyle w:val="TableContents"/>
              <w:bidi w:val="0"/>
              <w:spacing w:before="0" w:after="283"/>
              <w:jc w:val="left"/>
              <w:rPr/>
            </w:pPr>
            <w:r>
              <w:rPr/>
              <w:t> </w:t>
            </w:r>
          </w:p>
        </w:tc>
        <w:tc>
          <w:tcPr>
            <w:tcW w:w="8022" w:type="dxa"/>
            <w:tcBorders/>
            <w:vAlign w:val="bottom"/>
          </w:tcPr>
          <w:p>
            <w:pPr>
              <w:pStyle w:val="TableContents"/>
              <w:bidi w:val="0"/>
              <w:spacing w:before="0" w:after="283"/>
              <w:jc w:val="left"/>
              <w:rPr/>
            </w:pPr>
            <w:r>
              <w:rPr/>
              <w:t>Repayment To Company</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9679" w:type="dxa"/>
            <w:gridSpan w:val="3"/>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967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XII Immunity Of Incorporators, Stockholders, Officers And Directors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8115"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12.1</w:t>
            </w:r>
          </w:p>
        </w:tc>
        <w:tc>
          <w:tcPr>
            <w:tcW w:w="93" w:type="dxa"/>
            <w:tcBorders/>
            <w:vAlign w:val="bottom"/>
          </w:tcPr>
          <w:p>
            <w:pPr>
              <w:pStyle w:val="TableContents"/>
              <w:bidi w:val="0"/>
              <w:spacing w:before="0" w:after="283"/>
              <w:jc w:val="left"/>
              <w:rPr/>
            </w:pPr>
            <w:r>
              <w:rPr/>
              <w:t> </w:t>
            </w:r>
          </w:p>
        </w:tc>
        <w:tc>
          <w:tcPr>
            <w:tcW w:w="8022" w:type="dxa"/>
            <w:tcBorders/>
            <w:vAlign w:val="bottom"/>
          </w:tcPr>
          <w:p>
            <w:pPr>
              <w:pStyle w:val="TableContents"/>
              <w:bidi w:val="0"/>
              <w:spacing w:before="0" w:after="283"/>
              <w:jc w:val="left"/>
              <w:rPr/>
            </w:pPr>
            <w:r>
              <w:rPr/>
              <w:t>No Recourse</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9679" w:type="dxa"/>
            <w:gridSpan w:val="3"/>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967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XIII Miscellaneous Provisions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8115"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13.1</w:t>
            </w:r>
          </w:p>
        </w:tc>
        <w:tc>
          <w:tcPr>
            <w:tcW w:w="93" w:type="dxa"/>
            <w:tcBorders/>
            <w:vAlign w:val="bottom"/>
          </w:tcPr>
          <w:p>
            <w:pPr>
              <w:pStyle w:val="TableContents"/>
              <w:bidi w:val="0"/>
              <w:spacing w:before="0" w:after="283"/>
              <w:jc w:val="left"/>
              <w:rPr/>
            </w:pPr>
            <w:r>
              <w:rPr/>
              <w:t> </w:t>
            </w:r>
          </w:p>
        </w:tc>
        <w:tc>
          <w:tcPr>
            <w:tcW w:w="8022" w:type="dxa"/>
            <w:tcBorders/>
            <w:vAlign w:val="bottom"/>
          </w:tcPr>
          <w:p>
            <w:pPr>
              <w:pStyle w:val="TableContents"/>
              <w:bidi w:val="0"/>
              <w:spacing w:before="0" w:after="283"/>
              <w:jc w:val="left"/>
              <w:rPr/>
            </w:pPr>
            <w:r>
              <w:rPr/>
              <w:t>Effect On Successors And Assigns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8115"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13.2</w:t>
            </w:r>
          </w:p>
        </w:tc>
        <w:tc>
          <w:tcPr>
            <w:tcW w:w="93" w:type="dxa"/>
            <w:tcBorders/>
            <w:vAlign w:val="bottom"/>
          </w:tcPr>
          <w:p>
            <w:pPr>
              <w:pStyle w:val="TableContents"/>
              <w:bidi w:val="0"/>
              <w:spacing w:before="0" w:after="283"/>
              <w:jc w:val="left"/>
              <w:rPr/>
            </w:pPr>
            <w:r>
              <w:rPr/>
              <w:t> </w:t>
            </w:r>
          </w:p>
        </w:tc>
        <w:tc>
          <w:tcPr>
            <w:tcW w:w="8022" w:type="dxa"/>
            <w:tcBorders/>
            <w:vAlign w:val="bottom"/>
          </w:tcPr>
          <w:p>
            <w:pPr>
              <w:pStyle w:val="TableContents"/>
              <w:bidi w:val="0"/>
              <w:spacing w:before="0" w:after="283"/>
              <w:jc w:val="left"/>
              <w:rPr/>
            </w:pPr>
            <w:r>
              <w:rPr/>
              <w:t>Actions By Successor</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8115"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13.3</w:t>
            </w:r>
          </w:p>
        </w:tc>
        <w:tc>
          <w:tcPr>
            <w:tcW w:w="93" w:type="dxa"/>
            <w:tcBorders/>
            <w:vAlign w:val="bottom"/>
          </w:tcPr>
          <w:p>
            <w:pPr>
              <w:pStyle w:val="TableContents"/>
              <w:bidi w:val="0"/>
              <w:spacing w:before="0" w:after="283"/>
              <w:jc w:val="left"/>
              <w:rPr/>
            </w:pPr>
            <w:r>
              <w:rPr/>
              <w:t> </w:t>
            </w:r>
          </w:p>
        </w:tc>
        <w:tc>
          <w:tcPr>
            <w:tcW w:w="8022" w:type="dxa"/>
            <w:tcBorders/>
            <w:vAlign w:val="bottom"/>
          </w:tcPr>
          <w:p>
            <w:pPr>
              <w:pStyle w:val="TableContents"/>
              <w:bidi w:val="0"/>
              <w:spacing w:before="0" w:after="283"/>
              <w:jc w:val="left"/>
              <w:rPr/>
            </w:pPr>
            <w:r>
              <w:rPr/>
              <w:t>Surrender Of Company Powers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8115"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13.4</w:t>
            </w:r>
          </w:p>
        </w:tc>
        <w:tc>
          <w:tcPr>
            <w:tcW w:w="93" w:type="dxa"/>
            <w:tcBorders/>
            <w:vAlign w:val="bottom"/>
          </w:tcPr>
          <w:p>
            <w:pPr>
              <w:pStyle w:val="TableContents"/>
              <w:bidi w:val="0"/>
              <w:spacing w:before="0" w:after="283"/>
              <w:jc w:val="left"/>
              <w:rPr/>
            </w:pPr>
            <w:r>
              <w:rPr/>
              <w:t> </w:t>
            </w:r>
          </w:p>
        </w:tc>
        <w:tc>
          <w:tcPr>
            <w:tcW w:w="8022" w:type="dxa"/>
            <w:tcBorders/>
            <w:vAlign w:val="bottom"/>
          </w:tcPr>
          <w:p>
            <w:pPr>
              <w:pStyle w:val="TableContents"/>
              <w:bidi w:val="0"/>
              <w:spacing w:before="0" w:after="283"/>
              <w:jc w:val="left"/>
              <w:rPr/>
            </w:pPr>
            <w:r>
              <w:rPr/>
              <w:t>Notices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8115"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13.5</w:t>
            </w:r>
          </w:p>
        </w:tc>
        <w:tc>
          <w:tcPr>
            <w:tcW w:w="93" w:type="dxa"/>
            <w:tcBorders/>
            <w:vAlign w:val="bottom"/>
          </w:tcPr>
          <w:p>
            <w:pPr>
              <w:pStyle w:val="TableContents"/>
              <w:bidi w:val="0"/>
              <w:spacing w:before="0" w:after="283"/>
              <w:jc w:val="left"/>
              <w:rPr/>
            </w:pPr>
            <w:r>
              <w:rPr/>
              <w:t> </w:t>
            </w:r>
          </w:p>
        </w:tc>
        <w:tc>
          <w:tcPr>
            <w:tcW w:w="8022" w:type="dxa"/>
            <w:tcBorders/>
            <w:vAlign w:val="bottom"/>
          </w:tcPr>
          <w:p>
            <w:pPr>
              <w:pStyle w:val="TableContents"/>
              <w:bidi w:val="0"/>
              <w:spacing w:before="0" w:after="283"/>
              <w:jc w:val="left"/>
              <w:rPr/>
            </w:pPr>
            <w:r>
              <w:rPr/>
              <w:t>Governing Law</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8115"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13.6</w:t>
            </w:r>
          </w:p>
        </w:tc>
        <w:tc>
          <w:tcPr>
            <w:tcW w:w="93" w:type="dxa"/>
            <w:tcBorders/>
            <w:vAlign w:val="bottom"/>
          </w:tcPr>
          <w:p>
            <w:pPr>
              <w:pStyle w:val="TableContents"/>
              <w:bidi w:val="0"/>
              <w:spacing w:before="0" w:after="283"/>
              <w:jc w:val="left"/>
              <w:rPr/>
            </w:pPr>
            <w:r>
              <w:rPr/>
              <w:t> </w:t>
            </w:r>
          </w:p>
        </w:tc>
        <w:tc>
          <w:tcPr>
            <w:tcW w:w="8022" w:type="dxa"/>
            <w:tcBorders/>
            <w:vAlign w:val="bottom"/>
          </w:tcPr>
          <w:p>
            <w:pPr>
              <w:pStyle w:val="TableContents"/>
              <w:bidi w:val="0"/>
              <w:spacing w:before="0" w:after="283"/>
              <w:jc w:val="left"/>
              <w:rPr/>
            </w:pPr>
            <w:r>
              <w:rPr/>
              <w:t>Treatment Of Securities As Debt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8115"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13.7</w:t>
            </w:r>
          </w:p>
        </w:tc>
        <w:tc>
          <w:tcPr>
            <w:tcW w:w="93" w:type="dxa"/>
            <w:tcBorders/>
            <w:vAlign w:val="bottom"/>
          </w:tcPr>
          <w:p>
            <w:pPr>
              <w:pStyle w:val="TableContents"/>
              <w:bidi w:val="0"/>
              <w:spacing w:before="0" w:after="283"/>
              <w:jc w:val="left"/>
              <w:rPr/>
            </w:pPr>
            <w:r>
              <w:rPr/>
              <w:t> </w:t>
            </w:r>
          </w:p>
        </w:tc>
        <w:tc>
          <w:tcPr>
            <w:tcW w:w="8022" w:type="dxa"/>
            <w:tcBorders/>
            <w:vAlign w:val="bottom"/>
          </w:tcPr>
          <w:p>
            <w:pPr>
              <w:pStyle w:val="TableContents"/>
              <w:bidi w:val="0"/>
              <w:spacing w:before="0" w:after="283"/>
              <w:jc w:val="left"/>
              <w:rPr/>
            </w:pPr>
            <w:r>
              <w:rPr/>
              <w:t>Compliance Certificates And Opinions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8115"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13.8</w:t>
            </w:r>
          </w:p>
        </w:tc>
        <w:tc>
          <w:tcPr>
            <w:tcW w:w="93" w:type="dxa"/>
            <w:tcBorders/>
            <w:vAlign w:val="bottom"/>
          </w:tcPr>
          <w:p>
            <w:pPr>
              <w:pStyle w:val="TableContents"/>
              <w:bidi w:val="0"/>
              <w:spacing w:before="0" w:after="283"/>
              <w:jc w:val="left"/>
              <w:rPr/>
            </w:pPr>
            <w:r>
              <w:rPr/>
              <w:t> </w:t>
            </w:r>
          </w:p>
        </w:tc>
        <w:tc>
          <w:tcPr>
            <w:tcW w:w="8022" w:type="dxa"/>
            <w:tcBorders/>
            <w:vAlign w:val="bottom"/>
          </w:tcPr>
          <w:p>
            <w:pPr>
              <w:pStyle w:val="TableContents"/>
              <w:bidi w:val="0"/>
              <w:spacing w:before="0" w:after="283"/>
              <w:jc w:val="left"/>
              <w:rPr/>
            </w:pPr>
            <w:r>
              <w:rPr/>
              <w:t>Payments On Business Days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8115"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13.9</w:t>
            </w:r>
          </w:p>
        </w:tc>
        <w:tc>
          <w:tcPr>
            <w:tcW w:w="93" w:type="dxa"/>
            <w:tcBorders/>
            <w:vAlign w:val="bottom"/>
          </w:tcPr>
          <w:p>
            <w:pPr>
              <w:pStyle w:val="TableContents"/>
              <w:bidi w:val="0"/>
              <w:spacing w:before="0" w:after="283"/>
              <w:jc w:val="left"/>
              <w:rPr/>
            </w:pPr>
            <w:r>
              <w:rPr/>
              <w:t> </w:t>
            </w:r>
          </w:p>
        </w:tc>
        <w:tc>
          <w:tcPr>
            <w:tcW w:w="8022" w:type="dxa"/>
            <w:tcBorders/>
            <w:vAlign w:val="bottom"/>
          </w:tcPr>
          <w:p>
            <w:pPr>
              <w:pStyle w:val="TableContents"/>
              <w:bidi w:val="0"/>
              <w:spacing w:before="0" w:after="283"/>
              <w:jc w:val="left"/>
              <w:rPr/>
            </w:pPr>
            <w:r>
              <w:rPr/>
              <w:t>Conflict With Trust Indenture Act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8115"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13.10</w:t>
            </w:r>
          </w:p>
        </w:tc>
        <w:tc>
          <w:tcPr>
            <w:tcW w:w="93" w:type="dxa"/>
            <w:tcBorders/>
            <w:vAlign w:val="bottom"/>
          </w:tcPr>
          <w:p>
            <w:pPr>
              <w:pStyle w:val="TableContents"/>
              <w:bidi w:val="0"/>
              <w:spacing w:before="0" w:after="283"/>
              <w:jc w:val="left"/>
              <w:rPr/>
            </w:pPr>
            <w:r>
              <w:rPr/>
              <w:t> </w:t>
            </w:r>
          </w:p>
        </w:tc>
        <w:tc>
          <w:tcPr>
            <w:tcW w:w="8022" w:type="dxa"/>
            <w:tcBorders/>
            <w:vAlign w:val="bottom"/>
          </w:tcPr>
          <w:p>
            <w:pPr>
              <w:pStyle w:val="TableContents"/>
              <w:bidi w:val="0"/>
              <w:spacing w:before="0" w:after="283"/>
              <w:jc w:val="left"/>
              <w:rPr/>
            </w:pPr>
            <w:r>
              <w:rPr/>
              <w:t>Counterparts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8115"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13.11</w:t>
            </w:r>
          </w:p>
        </w:tc>
        <w:tc>
          <w:tcPr>
            <w:tcW w:w="93" w:type="dxa"/>
            <w:tcBorders/>
            <w:vAlign w:val="bottom"/>
          </w:tcPr>
          <w:p>
            <w:pPr>
              <w:pStyle w:val="TableContents"/>
              <w:bidi w:val="0"/>
              <w:spacing w:before="0" w:after="283"/>
              <w:jc w:val="left"/>
              <w:rPr/>
            </w:pPr>
            <w:r>
              <w:rPr/>
              <w:t> </w:t>
            </w:r>
          </w:p>
        </w:tc>
        <w:tc>
          <w:tcPr>
            <w:tcW w:w="8022" w:type="dxa"/>
            <w:tcBorders/>
            <w:vAlign w:val="bottom"/>
          </w:tcPr>
          <w:p>
            <w:pPr>
              <w:pStyle w:val="TableContents"/>
              <w:bidi w:val="0"/>
              <w:spacing w:before="0" w:after="283"/>
              <w:jc w:val="left"/>
              <w:rPr/>
            </w:pPr>
            <w:r>
              <w:rPr/>
              <w:t>Separability</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8115"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13.12</w:t>
            </w:r>
          </w:p>
        </w:tc>
        <w:tc>
          <w:tcPr>
            <w:tcW w:w="93" w:type="dxa"/>
            <w:tcBorders/>
            <w:vAlign w:val="bottom"/>
          </w:tcPr>
          <w:p>
            <w:pPr>
              <w:pStyle w:val="TableContents"/>
              <w:bidi w:val="0"/>
              <w:spacing w:before="0" w:after="283"/>
              <w:jc w:val="left"/>
              <w:rPr/>
            </w:pPr>
            <w:r>
              <w:rPr/>
              <w:t> </w:t>
            </w:r>
          </w:p>
        </w:tc>
        <w:tc>
          <w:tcPr>
            <w:tcW w:w="8022" w:type="dxa"/>
            <w:tcBorders/>
            <w:vAlign w:val="bottom"/>
          </w:tcPr>
          <w:p>
            <w:pPr>
              <w:pStyle w:val="TableContents"/>
              <w:bidi w:val="0"/>
              <w:spacing w:before="0" w:after="283"/>
              <w:jc w:val="left"/>
              <w:rPr/>
            </w:pPr>
            <w:r>
              <w:rPr/>
              <w:t>Table Of Contents, Headings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8115"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13.13</w:t>
            </w:r>
          </w:p>
        </w:tc>
        <w:tc>
          <w:tcPr>
            <w:tcW w:w="93" w:type="dxa"/>
            <w:tcBorders/>
            <w:vAlign w:val="bottom"/>
          </w:tcPr>
          <w:p>
            <w:pPr>
              <w:pStyle w:val="TableContents"/>
              <w:bidi w:val="0"/>
              <w:spacing w:before="0" w:after="283"/>
              <w:jc w:val="left"/>
              <w:rPr/>
            </w:pPr>
            <w:r>
              <w:rPr/>
              <w:t> </w:t>
            </w:r>
          </w:p>
        </w:tc>
        <w:tc>
          <w:tcPr>
            <w:tcW w:w="8022" w:type="dxa"/>
            <w:tcBorders/>
            <w:vAlign w:val="bottom"/>
          </w:tcPr>
          <w:p>
            <w:pPr>
              <w:pStyle w:val="TableContents"/>
              <w:bidi w:val="0"/>
              <w:spacing w:before="0" w:after="283"/>
              <w:jc w:val="left"/>
              <w:rPr/>
            </w:pPr>
            <w:r>
              <w:rPr/>
              <w:t>Securities In A Foreign Currency</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8115"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13.14</w:t>
            </w:r>
          </w:p>
        </w:tc>
        <w:tc>
          <w:tcPr>
            <w:tcW w:w="93" w:type="dxa"/>
            <w:tcBorders/>
            <w:vAlign w:val="bottom"/>
          </w:tcPr>
          <w:p>
            <w:pPr>
              <w:pStyle w:val="TableContents"/>
              <w:bidi w:val="0"/>
              <w:spacing w:before="0" w:after="283"/>
              <w:jc w:val="left"/>
              <w:rPr/>
            </w:pPr>
            <w:r>
              <w:rPr/>
              <w:t> </w:t>
            </w:r>
          </w:p>
        </w:tc>
        <w:tc>
          <w:tcPr>
            <w:tcW w:w="8022" w:type="dxa"/>
            <w:tcBorders/>
            <w:vAlign w:val="bottom"/>
          </w:tcPr>
          <w:p>
            <w:pPr>
              <w:pStyle w:val="TableContents"/>
              <w:bidi w:val="0"/>
              <w:spacing w:before="0" w:after="283"/>
              <w:jc w:val="left"/>
              <w:rPr/>
            </w:pPr>
            <w:r>
              <w:rPr/>
              <w:t>U.S.A. Patriot Act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8115"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13.15</w:t>
            </w:r>
          </w:p>
        </w:tc>
        <w:tc>
          <w:tcPr>
            <w:tcW w:w="93" w:type="dxa"/>
            <w:tcBorders/>
            <w:vAlign w:val="bottom"/>
          </w:tcPr>
          <w:p>
            <w:pPr>
              <w:pStyle w:val="TableContents"/>
              <w:bidi w:val="0"/>
              <w:spacing w:before="0" w:after="283"/>
              <w:jc w:val="left"/>
              <w:rPr/>
            </w:pPr>
            <w:r>
              <w:rPr/>
              <w:t> </w:t>
            </w:r>
          </w:p>
        </w:tc>
        <w:tc>
          <w:tcPr>
            <w:tcW w:w="8022" w:type="dxa"/>
            <w:tcBorders/>
            <w:vAlign w:val="bottom"/>
          </w:tcPr>
          <w:p>
            <w:pPr>
              <w:pStyle w:val="TableContents"/>
              <w:bidi w:val="0"/>
              <w:spacing w:before="0" w:after="283"/>
              <w:jc w:val="left"/>
              <w:rPr/>
            </w:pPr>
            <w:r>
              <w:rPr/>
              <w:t>Compliance Certificates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9679" w:type="dxa"/>
            <w:gridSpan w:val="3"/>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967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XIV Subordination Of Securities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8115"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14.1</w:t>
            </w:r>
          </w:p>
        </w:tc>
        <w:tc>
          <w:tcPr>
            <w:tcW w:w="93" w:type="dxa"/>
            <w:tcBorders/>
            <w:vAlign w:val="bottom"/>
          </w:tcPr>
          <w:p>
            <w:pPr>
              <w:pStyle w:val="TableContents"/>
              <w:bidi w:val="0"/>
              <w:spacing w:before="0" w:after="283"/>
              <w:jc w:val="left"/>
              <w:rPr/>
            </w:pPr>
            <w:r>
              <w:rPr/>
              <w:t> </w:t>
            </w:r>
          </w:p>
        </w:tc>
        <w:tc>
          <w:tcPr>
            <w:tcW w:w="8022" w:type="dxa"/>
            <w:tcBorders/>
            <w:vAlign w:val="bottom"/>
          </w:tcPr>
          <w:p>
            <w:pPr>
              <w:pStyle w:val="TableContents"/>
              <w:bidi w:val="0"/>
              <w:spacing w:before="0" w:after="283"/>
              <w:jc w:val="left"/>
              <w:rPr/>
            </w:pPr>
            <w:r>
              <w:rPr/>
              <w:t>Subordination Terms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The Macerich Company </w:t>
      </w:r>
    </w:p>
    <w:p>
      <w:pPr>
        <w:pStyle w:val="TextBody"/>
        <w:bidi w:val="0"/>
        <w:spacing w:before="240" w:after="0"/>
        <w:jc w:val="center"/>
        <w:rPr>
          <w:rFonts w:ascii="Times New Roman" w:hAnsi="Times New Roman"/>
          <w:sz w:val="20"/>
        </w:rPr>
      </w:pPr>
      <w:r>
        <w:rPr>
          <w:rFonts w:ascii="Times New Roman" w:hAnsi="Times New Roman"/>
          <w:sz w:val="20"/>
        </w:rPr>
        <w:t xml:space="preserve">Reconciliation and tie between Trust Indenture Act of 1939 and </w:t>
      </w:r>
    </w:p>
    <w:p>
      <w:pPr>
        <w:pStyle w:val="TextBody"/>
        <w:bidi w:val="0"/>
        <w:spacing w:before="0" w:after="0"/>
        <w:jc w:val="center"/>
        <w:rPr>
          <w:rFonts w:ascii="Times New Roman" w:hAnsi="Times New Roman"/>
          <w:sz w:val="20"/>
        </w:rPr>
      </w:pPr>
      <w:r>
        <w:rPr>
          <w:rFonts w:ascii="Times New Roman" w:hAnsi="Times New Roman"/>
          <w:sz w:val="20"/>
        </w:rPr>
        <w:t xml:space="preserve">Indenture, dated as of    , 20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6"/>
        <w:gridCol w:w="113"/>
        <w:gridCol w:w="7420"/>
        <w:gridCol w:w="132"/>
        <w:gridCol w:w="1514"/>
      </w:tblGrid>
      <w:tr>
        <w:trPr/>
        <w:tc>
          <w:tcPr>
            <w:tcW w:w="1026"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742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 310(a)(1)</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7.9</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(a)(2)</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7.9</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(a)(3)</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Not Applicable</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(a)(4)</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Not Applicable</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(a)(5)</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7.9</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(b)</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7.8</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 311(a)</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7.13</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(b)</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7.13</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 312(a)</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5.1</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(b)</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5.2</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(c)</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5.2</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 313(a)</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5.4</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(b)(1)</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Not Applicable</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(b)(2)</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5.4</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(c)</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5.4</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(d)</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5.4</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 314(a)</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5.3; 13.7</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(b)</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Not Applicable</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(c)(1)</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13.7</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(c)(2)</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13.7</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(c)(3)</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Not Applicable</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(d)</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Not Applicable</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(e)</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13.7</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(f)</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Not Applicable</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 315(a)</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7.1</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(b)</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7.14</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(c)</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7.1</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(d)</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7.1</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(e)</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6.7</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 316(a)</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6.6; 8.4</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(a)(1)(A)</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6.6</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(a)(1)(B)</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6.6</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(a)(2)</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Not Applicable</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(b)</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6.4</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(c)</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8.1</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 317(a)(1)</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6.2</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(a)(2)</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6.2</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(b)</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4.3</w:t>
            </w:r>
          </w:p>
        </w:tc>
      </w:tr>
      <w:tr>
        <w:trPr/>
        <w:tc>
          <w:tcPr>
            <w:tcW w:w="1026" w:type="dxa"/>
            <w:tcBorders/>
          </w:tcPr>
          <w:p>
            <w:pPr>
              <w:pStyle w:val="TableContents"/>
              <w:bidi w:val="0"/>
              <w:spacing w:before="0" w:after="0"/>
              <w:jc w:val="right"/>
              <w:rPr>
                <w:rFonts w:ascii="Times New Roman" w:hAnsi="Times New Roman"/>
                <w:sz w:val="20"/>
              </w:rPr>
            </w:pPr>
            <w:r>
              <w:rPr>
                <w:rFonts w:ascii="Times New Roman" w:hAnsi="Times New Roman"/>
                <w:sz w:val="20"/>
              </w:rPr>
              <w:t>§ 318(a)</w:t>
            </w:r>
          </w:p>
        </w:tc>
        <w:tc>
          <w:tcPr>
            <w:tcW w:w="113" w:type="dxa"/>
            <w:tcBorders/>
            <w:vAlign w:val="bottom"/>
          </w:tcPr>
          <w:p>
            <w:pPr>
              <w:pStyle w:val="TableContents"/>
              <w:bidi w:val="0"/>
              <w:spacing w:before="0" w:after="283"/>
              <w:jc w:val="left"/>
              <w:rPr/>
            </w:pPr>
            <w:r>
              <w:rPr/>
              <w:t> </w:t>
            </w:r>
          </w:p>
        </w:tc>
        <w:tc>
          <w:tcPr>
            <w:tcW w:w="7420"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left"/>
              <w:rPr/>
            </w:pPr>
            <w:r>
              <w:rPr/>
              <w:t>13.9</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This reconciliation and tie shall not, for any purpose, be deemed to be part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120" w:after="0"/>
        <w:jc w:val="left"/>
        <w:rPr>
          <w:rFonts w:ascii="Times New Roman" w:hAnsi="Times New Roman"/>
          <w:sz w:val="20"/>
        </w:rPr>
      </w:pPr>
      <w:r>
        <w:rPr>
          <w:rFonts w:ascii="Times New Roman" w:hAnsi="Times New Roman"/>
          <w:b/>
          <w:sz w:val="20"/>
        </w:rPr>
        <w:t>INDENTURE</w:t>
      </w:r>
      <w:r>
        <w:rPr>
          <w:rFonts w:ascii="Times New Roman" w:hAnsi="Times New Roman"/>
          <w:sz w:val="20"/>
        </w:rPr>
        <w:t xml:space="preserve">, dated as of    , 20 , among </w:t>
      </w:r>
      <w:r>
        <w:rPr>
          <w:rFonts w:ascii="Times New Roman" w:hAnsi="Times New Roman"/>
          <w:b/>
          <w:sz w:val="20"/>
        </w:rPr>
        <w:t>THE MACERICH COMPANY</w:t>
      </w:r>
      <w:r>
        <w:rPr>
          <w:rFonts w:ascii="Times New Roman" w:hAnsi="Times New Roman"/>
          <w:sz w:val="20"/>
        </w:rPr>
        <w:t xml:space="preserve">, a Maryland corporation (the “Company”), and    , as trustee (the “Trustee”):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for its lawful corporate purposes, the Company has duly authorized the execution and delivery of this Indenture to provide for the issuance of subordinated debt securities (hereinafter referred to as the “Securities”), in an unlimited aggregate principal amount to be issued from time to time in one or more series as in this Indenture provided, as registered Securities without coupons, to be authenticated by the certificate of the Trustee;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to provide the terms and conditions upon which the Securities are to be authenticated, issued and delivered, the Company has duly authorized the execution of this Indenture;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all things necessary to make this Indenture a valid agreement of the Company, in accordance with its terms, have been done. </w:t>
      </w:r>
    </w:p>
    <w:p>
      <w:pPr>
        <w:pStyle w:val="TextBody"/>
        <w:bidi w:val="0"/>
        <w:spacing w:before="240" w:after="0"/>
        <w:jc w:val="left"/>
        <w:rPr>
          <w:rFonts w:ascii="Times New Roman" w:hAnsi="Times New Roman"/>
          <w:sz w:val="20"/>
        </w:rPr>
      </w:pPr>
      <w:r>
        <w:rPr>
          <w:rFonts w:ascii="Times New Roman" w:hAnsi="Times New Roman"/>
          <w:b/>
          <w:sz w:val="20"/>
        </w:rPr>
        <w:t>NOW</w:t>
      </w:r>
      <w:r>
        <w:rPr>
          <w:rFonts w:ascii="Times New Roman" w:hAnsi="Times New Roman"/>
          <w:sz w:val="20"/>
        </w:rPr>
        <w:t xml:space="preserve">, </w:t>
      </w:r>
      <w:r>
        <w:rPr>
          <w:rFonts w:ascii="Times New Roman" w:hAnsi="Times New Roman"/>
          <w:b/>
          <w:sz w:val="20"/>
        </w:rPr>
        <w:t>THEREFORE</w:t>
      </w:r>
      <w:r>
        <w:rPr>
          <w:rFonts w:ascii="Times New Roman" w:hAnsi="Times New Roman"/>
          <w:sz w:val="20"/>
        </w:rPr>
        <w:t xml:space="preserve">, in consideration of the premises and the purchase of the Securities by the holders thereof, it is mutually covenanted and agreed as follows for the equal and ratable benefit of the holders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 Of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 </w:t>
      </w:r>
    </w:p>
    <w:p>
      <w:pPr>
        <w:pStyle w:val="TextBody"/>
        <w:bidi w:val="0"/>
        <w:spacing w:before="240" w:after="0"/>
        <w:jc w:val="left"/>
        <w:rPr/>
      </w:pPr>
      <w:r>
        <w:rPr/>
        <w:t>“</w:t>
      </w:r>
      <w:r>
        <w:rPr>
          <w:rFonts w:ascii="Times New Roman" w:hAnsi="Times New Roman"/>
          <w:sz w:val="20"/>
          <w:u w:val="single"/>
        </w:rPr>
        <w:t>Authenticating Agent</w:t>
      </w:r>
      <w:r>
        <w:rPr>
          <w:rFonts w:ascii="Times New Roman" w:hAnsi="Times New Roman"/>
          <w:sz w:val="20"/>
        </w:rPr>
        <w:t xml:space="preserve">” means an authenticating agent with respect to all or any of the series of Securities appointed by the Trustee pursuant to Section 2.10. </w:t>
      </w:r>
    </w:p>
    <w:p>
      <w:pPr>
        <w:pStyle w:val="TextBody"/>
        <w:bidi w:val="0"/>
        <w:spacing w:before="240" w:after="0"/>
        <w:jc w:val="left"/>
        <w:rPr/>
      </w:pPr>
      <w:r>
        <w:rPr/>
        <w:t>“</w:t>
      </w:r>
      <w:r>
        <w:rPr>
          <w:rFonts w:ascii="Times New Roman" w:hAnsi="Times New Roman"/>
          <w:sz w:val="20"/>
          <w:u w:val="single"/>
        </w:rPr>
        <w:t>Authorized Officer</w:t>
      </w:r>
      <w:r>
        <w:rPr>
          <w:rFonts w:ascii="Times New Roman" w:hAnsi="Times New Roman"/>
          <w:sz w:val="20"/>
        </w:rPr>
        <w:t xml:space="preserve">,” when used with respect to the Company, means the [Chairman of the Board, President, Executive Vice Presidents, Chief Financial Officer or General Counsel and Secretary] of the Company. </w:t>
      </w:r>
    </w:p>
    <w:p>
      <w:pPr>
        <w:pStyle w:val="TextBody"/>
        <w:bidi w:val="0"/>
        <w:spacing w:before="240" w:after="0"/>
        <w:jc w:val="left"/>
        <w:rPr/>
      </w:pPr>
      <w:r>
        <w:rPr/>
        <w:t>“</w:t>
      </w:r>
      <w:r>
        <w:rPr>
          <w:rFonts w:ascii="Times New Roman" w:hAnsi="Times New Roman"/>
          <w:sz w:val="20"/>
          <w:u w:val="single"/>
        </w:rPr>
        <w:t>Bankruptcy Law</w:t>
      </w:r>
      <w:r>
        <w:rPr>
          <w:rFonts w:ascii="Times New Roman" w:hAnsi="Times New Roman"/>
          <w:sz w:val="20"/>
        </w:rPr>
        <w:t xml:space="preserve">” means Title 11, U.S. Code, or any similar federal or state law for the relief of debtors. </w:t>
      </w:r>
    </w:p>
    <w:p>
      <w:pPr>
        <w:pStyle w:val="TextBody"/>
        <w:bidi w:val="0"/>
        <w:spacing w:before="240" w:after="0"/>
        <w:jc w:val="left"/>
        <w:rPr/>
      </w:pPr>
      <w:r>
        <w:rPr/>
        <w:t>“</w:t>
      </w:r>
      <w:r>
        <w:rPr>
          <w:rFonts w:ascii="Times New Roman" w:hAnsi="Times New Roman"/>
          <w:sz w:val="20"/>
          <w:u w:val="single"/>
        </w:rPr>
        <w:t>Board of Directors</w:t>
      </w:r>
      <w:r>
        <w:rPr>
          <w:rFonts w:ascii="Times New Roman" w:hAnsi="Times New Roman"/>
          <w:sz w:val="20"/>
        </w:rPr>
        <w:t xml:space="preserve">” means the Board of Directors of the Company or any duly authorized committee of such Board. </w:t>
      </w:r>
    </w:p>
    <w:p>
      <w:pPr>
        <w:pStyle w:val="TextBody"/>
        <w:bidi w:val="0"/>
        <w:spacing w:before="240" w:after="0"/>
        <w:jc w:val="left"/>
        <w:rPr/>
      </w:pPr>
      <w:r>
        <w:rPr/>
        <w:t>“</w:t>
      </w:r>
      <w:r>
        <w:rPr>
          <w:rFonts w:ascii="Times New Roman" w:hAnsi="Times New Roman"/>
          <w:sz w:val="20"/>
          <w:u w:val="single"/>
        </w:rPr>
        <w:t>Board Resolution</w:t>
      </w:r>
      <w:r>
        <w:rPr>
          <w:rFonts w:ascii="Times New Roman" w:hAnsi="Times New Roman"/>
          <w:sz w:val="20"/>
        </w:rPr>
        <w:t xml:space="preserve">” means a copy of a resolution certified by the Secretary or an Assistant Secretary of the Company to have been duly adopted by the Board of Directors or pursuant to authorization by the Board of Directors and to be in full force and effect on the date of such certification.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with respect to any series of Securities, any day other than a day on which federal or state banking institutions in the Borough of Manhattan, the City and State of New York, are authorized or obligated by law, executive order or regulation to close.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Certificate</w:t>
      </w:r>
      <w:r>
        <w:rPr>
          <w:rFonts w:ascii="Times New Roman" w:hAnsi="Times New Roman"/>
          <w:sz w:val="20"/>
        </w:rPr>
        <w:t xml:space="preserve">” means a certificate signed by the chairman of the Board of Directors, any principal executive officer, any chief executive officer, any president, any senior vice president, any vice president, any principal financial officer or any principal accounting officer, any treasurer or any assistant treasurer, any controller or any assistant controller, any secretary or any assistant secretary of the Company. The Certificate need not comply with the provisions of Section 13.7.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means THE MACERICH COMPANY, a corporation duly organized and existing under the laws of the State of Maryland, and, subject to the provisions of Article X, shall also include its successors and assigns. </w:t>
      </w:r>
    </w:p>
    <w:p>
      <w:pPr>
        <w:pStyle w:val="TextBody"/>
        <w:bidi w:val="0"/>
        <w:spacing w:before="240" w:after="0"/>
        <w:jc w:val="left"/>
        <w:rPr/>
      </w:pPr>
      <w:r>
        <w:rPr/>
        <w:t>“</w:t>
      </w:r>
      <w:r>
        <w:rPr>
          <w:rFonts w:ascii="Times New Roman" w:hAnsi="Times New Roman"/>
          <w:sz w:val="20"/>
          <w:u w:val="single"/>
        </w:rPr>
        <w:t>Company Request</w:t>
      </w:r>
      <w:r>
        <w:rPr>
          <w:rFonts w:ascii="Times New Roman" w:hAnsi="Times New Roman"/>
          <w:sz w:val="20"/>
        </w:rPr>
        <w:t>” and “</w:t>
      </w:r>
      <w:r>
        <w:rPr>
          <w:rFonts w:ascii="Times New Roman" w:hAnsi="Times New Roman"/>
          <w:sz w:val="20"/>
          <w:u w:val="single"/>
        </w:rPr>
        <w:t>Company Order</w:t>
      </w:r>
      <w:r>
        <w:rPr>
          <w:rFonts w:ascii="Times New Roman" w:hAnsi="Times New Roman"/>
          <w:sz w:val="20"/>
        </w:rPr>
        <w:t xml:space="preserve">” mean, respectively, a written request or order signed in the name of the Company by one or more Authorized Officers of the Company, and delivered to the Trustee. </w:t>
      </w:r>
    </w:p>
    <w:p>
      <w:pPr>
        <w:pStyle w:val="TextBody"/>
        <w:bidi w:val="0"/>
        <w:spacing w:before="240" w:after="0"/>
        <w:jc w:val="left"/>
        <w:rPr/>
      </w:pPr>
      <w:r>
        <w:rPr/>
        <w:t>“</w:t>
      </w:r>
      <w:r>
        <w:rPr>
          <w:rFonts w:ascii="Times New Roman" w:hAnsi="Times New Roman"/>
          <w:sz w:val="20"/>
          <w:u w:val="single"/>
        </w:rPr>
        <w:t>Corporate Trust Office</w:t>
      </w:r>
      <w:r>
        <w:rPr>
          <w:rFonts w:ascii="Times New Roman" w:hAnsi="Times New Roman"/>
          <w:sz w:val="20"/>
        </w:rPr>
        <w:t xml:space="preserve">” means the office of the Trustee at which, at any particular time its corporate trust business related to this Indenture shall be principally administered, which office at the date hereof is located at      ; Attention:    , or such other address as the Trustee may designate from time to time by notice to the holders and the Company, or the corporate trust office of any successor Trustee at which this Indenture shall be administered (or such other address as a successor Trustee may designate from time to time by notice to the holders of the Company). </w:t>
      </w:r>
    </w:p>
    <w:p>
      <w:pPr>
        <w:pStyle w:val="TextBody"/>
        <w:bidi w:val="0"/>
        <w:spacing w:before="240" w:after="0"/>
        <w:jc w:val="left"/>
        <w:rPr/>
      </w:pPr>
      <w:r>
        <w:rPr/>
        <w:t>“</w:t>
      </w:r>
      <w:r>
        <w:rPr>
          <w:rFonts w:ascii="Times New Roman" w:hAnsi="Times New Roman"/>
          <w:sz w:val="20"/>
          <w:u w:val="single"/>
        </w:rPr>
        <w:t>Custodian</w:t>
      </w:r>
      <w:r>
        <w:rPr>
          <w:rFonts w:ascii="Times New Roman" w:hAnsi="Times New Roman"/>
          <w:sz w:val="20"/>
        </w:rPr>
        <w:t xml:space="preserve">” means any receiver, trustee, assignee, liquidator or similar official under any Bankruptcy Law. </w:t>
      </w:r>
    </w:p>
    <w:p>
      <w:pPr>
        <w:pStyle w:val="TextBody"/>
        <w:bidi w:val="0"/>
        <w:spacing w:before="240" w:after="0"/>
        <w:jc w:val="left"/>
        <w:rPr/>
      </w:pPr>
      <w:r>
        <w:rPr/>
        <w:t>“</w:t>
      </w:r>
      <w:r>
        <w:rPr>
          <w:rFonts w:ascii="Times New Roman" w:hAnsi="Times New Roman"/>
          <w:sz w:val="20"/>
          <w:u w:val="single"/>
        </w:rPr>
        <w:t>Default</w:t>
      </w:r>
      <w:r>
        <w:rPr>
          <w:rFonts w:ascii="Times New Roman" w:hAnsi="Times New Roman"/>
          <w:sz w:val="20"/>
        </w:rPr>
        <w:t xml:space="preserve">” means any event, act or condition that with notice or lapse of time, or both, would constitute an Event of Default. </w:t>
      </w:r>
    </w:p>
    <w:p>
      <w:pPr>
        <w:pStyle w:val="TextBody"/>
        <w:bidi w:val="0"/>
        <w:spacing w:before="240" w:after="0"/>
        <w:jc w:val="left"/>
        <w:rPr/>
      </w:pPr>
      <w:r>
        <w:rPr/>
        <w:t>“</w:t>
      </w:r>
      <w:r>
        <w:rPr>
          <w:rFonts w:ascii="Times New Roman" w:hAnsi="Times New Roman"/>
          <w:sz w:val="20"/>
          <w:u w:val="single"/>
        </w:rPr>
        <w:t>Depositary</w:t>
      </w:r>
      <w:r>
        <w:rPr>
          <w:rFonts w:ascii="Times New Roman" w:hAnsi="Times New Roman"/>
          <w:sz w:val="20"/>
        </w:rPr>
        <w:t xml:space="preserve">” means, with respect to Securities of any series for which the Company shall determine that such Securities will be issued in whole or in part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2.1 or 2.11.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means, with respect to Securities of a particular series, any event </w:t>
      </w:r>
    </w:p>
    <w:p>
      <w:pPr>
        <w:pStyle w:val="TextBody"/>
        <w:bidi w:val="0"/>
        <w:spacing w:before="240" w:after="0"/>
        <w:jc w:val="left"/>
        <w:rPr>
          <w:rFonts w:ascii="Times New Roman" w:hAnsi="Times New Roman"/>
          <w:sz w:val="20"/>
        </w:rPr>
      </w:pPr>
      <w:r>
        <w:rPr>
          <w:rFonts w:ascii="Times New Roman" w:hAnsi="Times New Roman"/>
          <w:sz w:val="20"/>
        </w:rPr>
        <w:t xml:space="preserve">specified in Section 6.1, continued for the period of time, if any, therein designated.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sz w:val="20"/>
          <w:u w:val="single"/>
        </w:rPr>
        <w:t>Global Security</w:t>
      </w:r>
      <w:r>
        <w:rPr>
          <w:rFonts w:ascii="Times New Roman" w:hAnsi="Times New Roman"/>
          <w:sz w:val="20"/>
        </w:rPr>
        <w:t xml:space="preserve">” means, with respect to any series of Securities, a Security executed by the Company and delivered by the Trustee to the Depositary or pursuant to the Depositary’s instruction, all in accordance with the Indenture, which shall be registered in the name of the Depositary or its nominee. </w:t>
      </w:r>
    </w:p>
    <w:p>
      <w:pPr>
        <w:pStyle w:val="TextBody"/>
        <w:bidi w:val="0"/>
        <w:spacing w:before="240" w:after="0"/>
        <w:jc w:val="left"/>
        <w:rPr/>
      </w:pPr>
      <w:r>
        <w:rPr/>
        <w:t>“</w:t>
      </w:r>
      <w:r>
        <w:rPr>
          <w:rFonts w:ascii="Times New Roman" w:hAnsi="Times New Roman"/>
          <w:sz w:val="20"/>
          <w:u w:val="single"/>
        </w:rPr>
        <w:t>Governmental Obligations</w:t>
      </w:r>
      <w:r>
        <w:rPr>
          <w:rFonts w:ascii="Times New Roman" w:hAnsi="Times New Roman"/>
          <w:sz w:val="20"/>
        </w:rPr>
        <w:t xml:space="preserve">”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 </w:t>
      </w:r>
    </w:p>
    <w:p>
      <w:pPr>
        <w:pStyle w:val="TextBody"/>
        <w:bidi w:val="0"/>
        <w:spacing w:before="240" w:after="0"/>
        <w:jc w:val="left"/>
        <w:rPr/>
      </w:pPr>
      <w:r>
        <w:rPr/>
        <w:t>“</w:t>
      </w:r>
      <w:r>
        <w:rPr>
          <w:rFonts w:ascii="Times New Roman" w:hAnsi="Times New Roman"/>
          <w:sz w:val="20"/>
          <w:u w:val="single"/>
        </w:rPr>
        <w:t>herein</w:t>
      </w:r>
      <w:r>
        <w:rPr>
          <w:rFonts w:ascii="Times New Roman" w:hAnsi="Times New Roman"/>
          <w:sz w:val="20"/>
        </w:rPr>
        <w:t>,” “</w:t>
      </w:r>
      <w:r>
        <w:rPr>
          <w:rFonts w:ascii="Times New Roman" w:hAnsi="Times New Roman"/>
          <w:sz w:val="20"/>
          <w:u w:val="single"/>
        </w:rPr>
        <w:t>hereof</w:t>
      </w:r>
      <w:r>
        <w:rPr>
          <w:rFonts w:ascii="Times New Roman" w:hAnsi="Times New Roman"/>
          <w:sz w:val="20"/>
        </w:rPr>
        <w:t xml:space="preserve">” and </w:t>
      </w:r>
      <w:r>
        <w:rPr>
          <w:rFonts w:ascii="Times New Roman" w:hAnsi="Times New Roman"/>
          <w:sz w:val="20"/>
          <w:u w:val="single"/>
        </w:rPr>
        <w:t>“hereunder</w:t>
      </w:r>
      <w:r>
        <w:rPr>
          <w:rFonts w:ascii="Times New Roman" w:hAnsi="Times New Roman"/>
          <w:sz w:val="20"/>
        </w:rPr>
        <w:t xml:space="preserve">,” and other words of similar import, refer to this Indenture as a whole and not to any particular Article, Section or other subdivision.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Indenture</w:t>
      </w:r>
      <w:r>
        <w:rPr>
          <w:rFonts w:ascii="Times New Roman" w:hAnsi="Times New Roman"/>
          <w:sz w:val="20"/>
        </w:rPr>
        <w:t xml:space="preserve">” means this instrument as originally executed or as it may from time to time be supplemented or amended by one or more indentures supplemental hereto entered into in accordance with the terms hereof. </w:t>
      </w:r>
    </w:p>
    <w:p>
      <w:pPr>
        <w:pStyle w:val="TextBody"/>
        <w:bidi w:val="0"/>
        <w:spacing w:before="240" w:after="0"/>
        <w:jc w:val="left"/>
        <w:rPr/>
      </w:pPr>
      <w:r>
        <w:rPr/>
        <w:t>“</w:t>
      </w:r>
      <w:r>
        <w:rPr>
          <w:rFonts w:ascii="Times New Roman" w:hAnsi="Times New Roman"/>
          <w:sz w:val="20"/>
          <w:u w:val="single"/>
        </w:rPr>
        <w:t>Interest Payment Date</w:t>
      </w:r>
      <w:r>
        <w:rPr>
          <w:rFonts w:ascii="Times New Roman" w:hAnsi="Times New Roman"/>
          <w:sz w:val="20"/>
        </w:rPr>
        <w:t xml:space="preserv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 </w:t>
      </w:r>
    </w:p>
    <w:p>
      <w:pPr>
        <w:pStyle w:val="TextBody"/>
        <w:bidi w:val="0"/>
        <w:spacing w:before="240" w:after="0"/>
        <w:jc w:val="left"/>
        <w:rPr/>
      </w:pPr>
      <w:r>
        <w:rPr/>
        <w:t>“</w:t>
      </w:r>
      <w:r>
        <w:rPr>
          <w:rFonts w:ascii="Times New Roman" w:hAnsi="Times New Roman"/>
          <w:sz w:val="20"/>
          <w:u w:val="single"/>
        </w:rPr>
        <w:t>Officers’ Certificate</w:t>
      </w:r>
      <w:r>
        <w:rPr>
          <w:rFonts w:ascii="Times New Roman" w:hAnsi="Times New Roman"/>
          <w:sz w:val="20"/>
        </w:rPr>
        <w:t xml:space="preserve">” means a certificate signed by a chief executive officer, a president, a senior vice president or a vice president and by the chief financial officer or the treasurer or an assistant treasurer or the controller or an assistant controller or the secretary or an assistant secretary of the Company that is delivered to the Trustee in accordance with the terms hereof. Each such certificate shall include the statements provided for in Section 13.7, if and to the extent required by the provisions thereof. </w:t>
      </w:r>
    </w:p>
    <w:p>
      <w:pPr>
        <w:pStyle w:val="TextBody"/>
        <w:bidi w:val="0"/>
        <w:spacing w:before="240" w:after="0"/>
        <w:jc w:val="left"/>
        <w:rPr/>
      </w:pPr>
      <w:r>
        <w:rPr/>
        <w:t>“</w:t>
      </w:r>
      <w:r>
        <w:rPr>
          <w:rFonts w:ascii="Times New Roman" w:hAnsi="Times New Roman"/>
          <w:sz w:val="20"/>
          <w:u w:val="single"/>
        </w:rPr>
        <w:t>Opinion of Counsel</w:t>
      </w:r>
      <w:r>
        <w:rPr>
          <w:rFonts w:ascii="Times New Roman" w:hAnsi="Times New Roman"/>
          <w:sz w:val="20"/>
        </w:rPr>
        <w:t xml:space="preserve">” means an opinion in writing subject to customary exceptions of legal counsel, who may be an employee of or counsel for the Company, that is delivered to the Trustee in accordance with the terms hereof. Each such opinion shall include the statements provided for in Section 13.7, if and to the extent required by the provisions thereof. </w:t>
      </w:r>
    </w:p>
    <w:p>
      <w:pPr>
        <w:pStyle w:val="TextBody"/>
        <w:bidi w:val="0"/>
        <w:spacing w:before="240" w:after="0"/>
        <w:jc w:val="left"/>
        <w:rPr/>
      </w:pPr>
      <w:r>
        <w:rPr/>
        <w:t>“</w:t>
      </w:r>
      <w:r>
        <w:rPr>
          <w:rFonts w:ascii="Times New Roman" w:hAnsi="Times New Roman"/>
          <w:sz w:val="20"/>
          <w:u w:val="single"/>
        </w:rPr>
        <w:t>Outstanding</w:t>
      </w:r>
      <w:r>
        <w:rPr>
          <w:rFonts w:ascii="Times New Roman" w:hAnsi="Times New Roman"/>
          <w:sz w:val="20"/>
        </w:rPr>
        <w:t xml:space="preserve">,” when used with reference to Securities of any series, means, subject to the provisions of Section 8.4,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2.7.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individual, corporation, partnership, joint venture, joint-stock company, limited liability company, unincorporated organization or government or any agency or political subdivision thereof. </w:t>
      </w:r>
    </w:p>
    <w:p>
      <w:pPr>
        <w:pStyle w:val="TextBody"/>
        <w:bidi w:val="0"/>
        <w:spacing w:before="240" w:after="0"/>
        <w:jc w:val="left"/>
        <w:rPr/>
      </w:pPr>
      <w:r>
        <w:rPr/>
        <w:t>“</w:t>
      </w:r>
      <w:r>
        <w:rPr>
          <w:rFonts w:ascii="Times New Roman" w:hAnsi="Times New Roman"/>
          <w:sz w:val="20"/>
          <w:u w:val="single"/>
        </w:rPr>
        <w:t>Predecessor Security</w:t>
      </w:r>
      <w:r>
        <w:rPr>
          <w:rFonts w:ascii="Times New Roman" w:hAnsi="Times New Roman"/>
          <w:sz w:val="20"/>
        </w:rPr>
        <w:t xml:space="preserve">” of any particular Security means every previous Security evidencing all or a portion of the same debt as that evidenced by such particular Security; and, for the purposes of this definition, any Security authenticated and delivered under Section 2.7 in lieu of a lost, destroyed or stolen Security shall be deemed to evidence the same debt as the lost, destroyed or stolen Security. </w:t>
      </w:r>
    </w:p>
    <w:p>
      <w:pPr>
        <w:pStyle w:val="TextBody"/>
        <w:bidi w:val="0"/>
        <w:spacing w:before="240" w:after="0"/>
        <w:jc w:val="left"/>
        <w:rPr/>
      </w:pPr>
      <w:r>
        <w:rPr/>
        <w:t>“</w:t>
      </w:r>
      <w:r>
        <w:rPr>
          <w:rFonts w:ascii="Times New Roman" w:hAnsi="Times New Roman"/>
          <w:sz w:val="20"/>
          <w:u w:val="single"/>
        </w:rPr>
        <w:t>Redemption Date</w:t>
      </w:r>
      <w:r>
        <w:rPr>
          <w:rFonts w:ascii="Times New Roman" w:hAnsi="Times New Roman"/>
          <w:sz w:val="20"/>
        </w:rPr>
        <w:t xml:space="preserve">,” when used with respect to any Security to be redeemed, means the date fixed for such redemption by or pursuant to this Indenture. </w:t>
      </w:r>
    </w:p>
    <w:p>
      <w:pPr>
        <w:pStyle w:val="TextBody"/>
        <w:bidi w:val="0"/>
        <w:spacing w:before="240" w:after="0"/>
        <w:jc w:val="left"/>
        <w:rPr/>
      </w:pPr>
      <w:r>
        <w:rPr/>
        <w:t>“</w:t>
      </w:r>
      <w:r>
        <w:rPr>
          <w:rFonts w:ascii="Times New Roman" w:hAnsi="Times New Roman"/>
          <w:sz w:val="20"/>
          <w:u w:val="single"/>
        </w:rPr>
        <w:t>Responsible Officer</w:t>
      </w:r>
      <w:r>
        <w:rPr>
          <w:rFonts w:ascii="Times New Roman" w:hAnsi="Times New Roman"/>
          <w:sz w:val="20"/>
        </w:rPr>
        <w:t xml:space="preserve">” when used with respect to the Trustee means any officer in the Corporate Trust Office of the Trustee having direct responsibility for administration of this Indenture, or to whom any corporate trust matter is referred because of his or her knowledge of and familiarity with the particular subject. </w:t>
      </w:r>
    </w:p>
    <w:p>
      <w:pPr>
        <w:pStyle w:val="TextBody"/>
        <w:bidi w:val="0"/>
        <w:spacing w:before="240" w:after="0"/>
        <w:jc w:val="left"/>
        <w:rPr/>
      </w:pPr>
      <w:r>
        <w:rPr/>
        <w:t>“</w:t>
      </w:r>
      <w:r>
        <w:rPr>
          <w:rFonts w:ascii="Times New Roman" w:hAnsi="Times New Roman"/>
          <w:sz w:val="20"/>
          <w:u w:val="single"/>
        </w:rPr>
        <w:t>Securities</w:t>
      </w:r>
      <w:r>
        <w:rPr>
          <w:rFonts w:ascii="Times New Roman" w:hAnsi="Times New Roman"/>
          <w:sz w:val="20"/>
        </w:rPr>
        <w:t xml:space="preserve">” means the debentures, notes or other debt instruments of the Company authenticated and delivered under this Indenture.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sz w:val="20"/>
          <w:u w:val="single"/>
        </w:rPr>
        <w:t>Securityholder</w:t>
      </w:r>
      <w:r>
        <w:rPr>
          <w:rFonts w:ascii="Times New Roman" w:hAnsi="Times New Roman"/>
          <w:sz w:val="20"/>
        </w:rPr>
        <w:t>,” “</w:t>
      </w:r>
      <w:r>
        <w:rPr>
          <w:rFonts w:ascii="Times New Roman" w:hAnsi="Times New Roman"/>
          <w:sz w:val="20"/>
          <w:u w:val="single"/>
        </w:rPr>
        <w:t>holder</w:t>
      </w:r>
      <w:r>
        <w:rPr>
          <w:rFonts w:ascii="Times New Roman" w:hAnsi="Times New Roman"/>
          <w:sz w:val="20"/>
        </w:rPr>
        <w:t>,” “</w:t>
      </w:r>
      <w:r>
        <w:rPr>
          <w:rFonts w:ascii="Times New Roman" w:hAnsi="Times New Roman"/>
          <w:sz w:val="20"/>
          <w:u w:val="single"/>
        </w:rPr>
        <w:t>registered holder</w:t>
      </w:r>
      <w:r>
        <w:rPr>
          <w:rFonts w:ascii="Times New Roman" w:hAnsi="Times New Roman"/>
          <w:sz w:val="20"/>
        </w:rPr>
        <w:t xml:space="preserve">,” or other similar term, means the Person or Persons in whose name or names a particular Security shall be registered on the books of the Company kept for that purpose in accordance with the terms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Stated Maturity</w:t>
      </w:r>
      <w:r>
        <w:rPr>
          <w:rFonts w:ascii="Times New Roman" w:hAnsi="Times New Roman"/>
          <w:sz w:val="20"/>
        </w:rPr>
        <w:t xml:space="preserve">,”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 any corporation at least a majority of whose outstanding Voting Stock shall at the time be owned, directly or indirectly, by such </w:t>
      </w:r>
    </w:p>
    <w:p>
      <w:pPr>
        <w:pStyle w:val="TextBody"/>
        <w:bidi w:val="0"/>
        <w:spacing w:before="240" w:after="0"/>
        <w:jc w:val="left"/>
        <w:rPr>
          <w:rFonts w:ascii="Times New Roman" w:hAnsi="Times New Roman"/>
          <w:sz w:val="20"/>
        </w:rPr>
      </w:pPr>
      <w:r>
        <w:rPr>
          <w:rFonts w:ascii="Times New Roman" w:hAnsi="Times New Roman"/>
          <w:sz w:val="20"/>
        </w:rPr>
        <w:t xml:space="preserve">Person or by one or more of its Subsidiaries or by such Person and one or more of its Subsidiaries, (b) any general partnership, limited liability company, joint venture or similar entity, at least a majority of whose outstanding partnership or similar interests shall at the time be owned by such Person, or by one or more of its Subsidiaries, or by such Person and one or more of its Subsidiaries and (c) any limited partnership of which such Person or any of its Subsidiaries is a general partner. </w:t>
      </w:r>
    </w:p>
    <w:p>
      <w:pPr>
        <w:pStyle w:val="TextBody"/>
        <w:bidi w:val="0"/>
        <w:spacing w:before="240" w:after="0"/>
        <w:jc w:val="left"/>
        <w:rPr/>
      </w:pPr>
      <w:r>
        <w:rPr/>
        <w:t>“</w:t>
      </w:r>
      <w:r>
        <w:rPr>
          <w:rFonts w:ascii="Times New Roman" w:hAnsi="Times New Roman"/>
          <w:sz w:val="20"/>
          <w:u w:val="single"/>
        </w:rPr>
        <w:t>Trustee</w:t>
      </w:r>
      <w:r>
        <w:rPr>
          <w:rFonts w:ascii="Times New Roman" w:hAnsi="Times New Roman"/>
          <w:sz w:val="20"/>
        </w:rPr>
        <w:t xml:space="preserve">” means      , and, subject to the provisions of Article VII,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 </w:t>
      </w:r>
    </w:p>
    <w:p>
      <w:pPr>
        <w:pStyle w:val="TextBody"/>
        <w:bidi w:val="0"/>
        <w:spacing w:before="240" w:after="0"/>
        <w:jc w:val="left"/>
        <w:rPr/>
      </w:pPr>
      <w:r>
        <w:rPr/>
        <w:t>“</w:t>
      </w:r>
      <w:r>
        <w:rPr>
          <w:rFonts w:ascii="Times New Roman" w:hAnsi="Times New Roman"/>
          <w:sz w:val="20"/>
          <w:u w:val="single"/>
        </w:rPr>
        <w:t>Trust Indenture Act</w:t>
      </w:r>
      <w:r>
        <w:rPr>
          <w:rFonts w:ascii="Times New Roman" w:hAnsi="Times New Roman"/>
          <w:sz w:val="20"/>
        </w:rPr>
        <w:t xml:space="preserve">” means the Trust Indenture Act of 1939, as amended. </w:t>
      </w:r>
    </w:p>
    <w:p>
      <w:pPr>
        <w:pStyle w:val="TextBody"/>
        <w:bidi w:val="0"/>
        <w:spacing w:before="240" w:after="0"/>
        <w:jc w:val="left"/>
        <w:rPr/>
      </w:pPr>
      <w:r>
        <w:rPr/>
        <w:t>“</w:t>
      </w:r>
      <w:r>
        <w:rPr>
          <w:rFonts w:ascii="Times New Roman" w:hAnsi="Times New Roman"/>
          <w:sz w:val="20"/>
          <w:u w:val="single"/>
        </w:rPr>
        <w:t>Voting Stock</w:t>
      </w:r>
      <w:r>
        <w:rPr>
          <w:rFonts w:ascii="Times New Roman" w:hAnsi="Times New Roman"/>
          <w:sz w:val="20"/>
        </w:rPr>
        <w:t xml:space="preserve">,”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Issue, Description, Terms, Execution, Registration </w:t>
      </w:r>
    </w:p>
    <w:p>
      <w:pPr>
        <w:pStyle w:val="TextBody"/>
        <w:bidi w:val="0"/>
        <w:spacing w:before="0" w:after="0"/>
        <w:jc w:val="center"/>
        <w:rPr>
          <w:rFonts w:ascii="Times New Roman" w:hAnsi="Times New Roman"/>
          <w:b/>
          <w:sz w:val="20"/>
        </w:rPr>
      </w:pPr>
      <w:r>
        <w:rPr>
          <w:rFonts w:ascii="Times New Roman" w:hAnsi="Times New Roman"/>
          <w:b/>
          <w:sz w:val="20"/>
        </w:rPr>
        <w:t xml:space="preserve">And Exchange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Designation And Terms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 </w:t>
      </w:r>
    </w:p>
    <w:p>
      <w:pPr>
        <w:pStyle w:val="TextBody"/>
        <w:bidi w:val="0"/>
        <w:spacing w:before="240" w:after="0"/>
        <w:jc w:val="left"/>
        <w:rPr>
          <w:rFonts w:ascii="Times New Roman" w:hAnsi="Times New Roman"/>
          <w:sz w:val="20"/>
        </w:rPr>
      </w:pPr>
      <w:r>
        <w:rPr>
          <w:rFonts w:ascii="Times New Roman" w:hAnsi="Times New Roman"/>
          <w:sz w:val="20"/>
        </w:rPr>
        <w:t xml:space="preserve">(a) the title of the Securities of the series (which shall distinguish the Securities of that series from all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(b) the price or prices (expressed as a percentage of the principal amount thereof) at which the Securities of the series will be issued; </w:t>
      </w:r>
    </w:p>
    <w:p>
      <w:pPr>
        <w:pStyle w:val="TextBody"/>
        <w:bidi w:val="0"/>
        <w:spacing w:before="240" w:after="0"/>
        <w:jc w:val="left"/>
        <w:rPr>
          <w:rFonts w:ascii="Times New Roman" w:hAnsi="Times New Roman"/>
          <w:sz w:val="20"/>
        </w:rPr>
      </w:pPr>
      <w:r>
        <w:rPr>
          <w:rFonts w:ascii="Times New Roman" w:hAnsi="Times New Roman"/>
          <w:sz w:val="20"/>
        </w:rPr>
        <w:t xml:space="preserve">(c)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(d) the date or dates on which the principal of the Securities of the series is payable, any original issue discount that may apply to the Securities of that series upon their </w:t>
      </w:r>
    </w:p>
    <w:p>
      <w:pPr>
        <w:pStyle w:val="TextBody"/>
        <w:bidi w:val="0"/>
        <w:spacing w:before="240" w:after="0"/>
        <w:jc w:val="left"/>
        <w:rPr>
          <w:rFonts w:ascii="Times New Roman" w:hAnsi="Times New Roman"/>
          <w:sz w:val="20"/>
        </w:rPr>
      </w:pPr>
      <w:r>
        <w:rPr>
          <w:rFonts w:ascii="Times New Roman" w:hAnsi="Times New Roman"/>
          <w:sz w:val="20"/>
        </w:rPr>
        <w:t xml:space="preserve">issuance, the principal amount due at maturity, and the place(s) of payment; </w:t>
      </w:r>
    </w:p>
    <w:p>
      <w:pPr>
        <w:pStyle w:val="TextBody"/>
        <w:bidi w:val="0"/>
        <w:spacing w:before="240" w:after="0"/>
        <w:jc w:val="left"/>
        <w:rPr>
          <w:rFonts w:ascii="Times New Roman" w:hAnsi="Times New Roman"/>
          <w:sz w:val="20"/>
        </w:rPr>
      </w:pPr>
      <w:r>
        <w:rPr>
          <w:rFonts w:ascii="Times New Roman" w:hAnsi="Times New Roman"/>
          <w:sz w:val="20"/>
        </w:rPr>
        <w:t xml:space="preserve">(e) the rate or rates at which the Securities of the series shall bear interest or the manner of calculation of such rate or rates,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 </w:t>
      </w:r>
    </w:p>
    <w:p>
      <w:pPr>
        <w:pStyle w:val="TextBody"/>
        <w:bidi w:val="0"/>
        <w:spacing w:before="240" w:after="0"/>
        <w:jc w:val="left"/>
        <w:rPr>
          <w:rFonts w:ascii="Times New Roman" w:hAnsi="Times New Roman"/>
          <w:sz w:val="20"/>
        </w:rPr>
      </w:pPr>
      <w:r>
        <w:rPr>
          <w:rFonts w:ascii="Times New Roman" w:hAnsi="Times New Roman"/>
          <w:sz w:val="20"/>
        </w:rPr>
        <w:t xml:space="preserve">(g) the right, if any, to extend the interest payment periods and the duration of such extension; </w:t>
      </w:r>
    </w:p>
    <w:p>
      <w:pPr>
        <w:pStyle w:val="TextBody"/>
        <w:bidi w:val="0"/>
        <w:spacing w:before="240" w:after="0"/>
        <w:jc w:val="left"/>
        <w:rPr>
          <w:rFonts w:ascii="Times New Roman" w:hAnsi="Times New Roman"/>
          <w:sz w:val="20"/>
        </w:rPr>
      </w:pPr>
      <w:r>
        <w:rPr>
          <w:rFonts w:ascii="Times New Roman" w:hAnsi="Times New Roman"/>
          <w:sz w:val="20"/>
        </w:rPr>
        <w:t xml:space="preserve">(h) the period or periods within which, the price or prices at which and the terms and conditions upon which Securities of the series may be redeemed, in whole or in part, at the option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 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 </w:t>
      </w:r>
    </w:p>
    <w:p>
      <w:pPr>
        <w:pStyle w:val="TextBody"/>
        <w:bidi w:val="0"/>
        <w:spacing w:before="240" w:after="0"/>
        <w:jc w:val="left"/>
        <w:rPr>
          <w:rFonts w:ascii="Times New Roman" w:hAnsi="Times New Roman"/>
          <w:sz w:val="20"/>
        </w:rPr>
      </w:pPr>
      <w:r>
        <w:rPr>
          <w:rFonts w:ascii="Times New Roman" w:hAnsi="Times New Roman"/>
          <w:sz w:val="20"/>
        </w:rPr>
        <w:t xml:space="preserve">(j) the dates, if any, on which and the price or prices at which the Securities of the series will be repurchased by the Company at the option of the holders thereof and other detailed terms and provisions of such repurchase obligations; </w:t>
      </w:r>
    </w:p>
    <w:p>
      <w:pPr>
        <w:pStyle w:val="TextBody"/>
        <w:bidi w:val="0"/>
        <w:spacing w:before="240" w:after="0"/>
        <w:jc w:val="left"/>
        <w:rPr>
          <w:rFonts w:ascii="Times New Roman" w:hAnsi="Times New Roman"/>
          <w:sz w:val="20"/>
        </w:rPr>
      </w:pPr>
      <w:r>
        <w:rPr>
          <w:rFonts w:ascii="Times New Roman" w:hAnsi="Times New Roman"/>
          <w:sz w:val="20"/>
        </w:rPr>
        <w:t xml:space="preserve">(k) the form of the Securities of the series including the form of the Certificate of Authentication for such series; </w:t>
      </w:r>
    </w:p>
    <w:p>
      <w:pPr>
        <w:pStyle w:val="TextBody"/>
        <w:bidi w:val="0"/>
        <w:spacing w:before="240" w:after="0"/>
        <w:jc w:val="left"/>
        <w:rPr>
          <w:rFonts w:ascii="Times New Roman" w:hAnsi="Times New Roman"/>
          <w:sz w:val="20"/>
        </w:rPr>
      </w:pPr>
      <w:r>
        <w:rPr>
          <w:rFonts w:ascii="Times New Roman" w:hAnsi="Times New Roman"/>
          <w:sz w:val="20"/>
        </w:rPr>
        <w:t xml:space="preserve">(l) if other than denominations of one thousand U.S. dollars ($1,000) or any integral multiple thereof, the denominations in which the Securities of the series shall be issuable; </w:t>
      </w:r>
    </w:p>
    <w:p>
      <w:pPr>
        <w:pStyle w:val="TextBody"/>
        <w:bidi w:val="0"/>
        <w:spacing w:before="240" w:after="0"/>
        <w:jc w:val="left"/>
        <w:rPr>
          <w:rFonts w:ascii="Times New Roman" w:hAnsi="Times New Roman"/>
          <w:sz w:val="20"/>
        </w:rPr>
      </w:pPr>
      <w:r>
        <w:rPr>
          <w:rFonts w:ascii="Times New Roman" w:hAnsi="Times New Roman"/>
          <w:sz w:val="20"/>
        </w:rPr>
        <w:t xml:space="preserve">(m) whether the Securities are issuable as a Global Security and, in such case, the terms and the identity of the Depositary for such series; </w:t>
      </w:r>
    </w:p>
    <w:p>
      <w:pPr>
        <w:pStyle w:val="TextBody"/>
        <w:bidi w:val="0"/>
        <w:spacing w:before="240" w:after="0"/>
        <w:jc w:val="left"/>
        <w:rPr>
          <w:rFonts w:ascii="Times New Roman" w:hAnsi="Times New Roman"/>
          <w:sz w:val="20"/>
        </w:rPr>
      </w:pPr>
      <w:r>
        <w:rPr>
          <w:rFonts w:ascii="Times New Roman" w:hAnsi="Times New Roman"/>
          <w:sz w:val="20"/>
        </w:rPr>
        <w:t xml:space="preserve">(n) whether the Securities will be convertible into or exchangeable for shares of common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 </w:t>
      </w:r>
    </w:p>
    <w:p>
      <w:pPr>
        <w:pStyle w:val="TextBody"/>
        <w:bidi w:val="0"/>
        <w:spacing w:before="240" w:after="0"/>
        <w:jc w:val="left"/>
        <w:rPr>
          <w:rFonts w:ascii="Times New Roman" w:hAnsi="Times New Roman"/>
          <w:sz w:val="20"/>
        </w:rPr>
      </w:pPr>
      <w:r>
        <w:rPr>
          <w:rFonts w:ascii="Times New Roman" w:hAnsi="Times New Roman"/>
          <w:sz w:val="20"/>
        </w:rPr>
        <w:t xml:space="preserve">(o) if other than the principal amount thereof, the portion of the principal amount of Securities of the series which shall be payable upon declaration of acceleration of the maturity thereof pursuant to Section 6.1; </w:t>
      </w:r>
    </w:p>
    <w:p>
      <w:pPr>
        <w:pStyle w:val="TextBody"/>
        <w:bidi w:val="0"/>
        <w:spacing w:before="240" w:after="0"/>
        <w:jc w:val="left"/>
        <w:rPr>
          <w:rFonts w:ascii="Times New Roman" w:hAnsi="Times New Roman"/>
          <w:sz w:val="20"/>
        </w:rPr>
      </w:pPr>
      <w:r>
        <w:rPr>
          <w:rFonts w:ascii="Times New Roman" w:hAnsi="Times New Roman"/>
          <w:sz w:val="20"/>
        </w:rPr>
        <w:t xml:space="preserve">(p) any additional or different Events of Default or restrictive covenants (which may include, among other restrictions, restrictions on the Company’s ability or the ability of the Company’s Subsidiaries to: incur additional indebtedness; issue additional securities; create liens; pay dividends or make distributions in respect of their capital stock; redeem capital stock; place restrictions on such Subsidiaries placing restrictions on their ability to pay dividends, make distributions or transfer assets; make investments or other restricted payments; sell or otherwise dispose of assets; enter into sale-leaseback transactions; engage in transactions with stockholders and affiliates; issue or sell stock of their Subsidiaries; or effect a consolidation or merger) or financial covenants (which may include, among other financial covenants, financial covenants that require the Company and its Subsidiaries to maintain specified interest coverage, fixed charge, cash flow-based or asset-based ratios) provided for with respect to the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(q) if other than U.S. dollars, the coin or currency in which the Securities of the series are denominated (including, but not limited to, foreign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the designation of the currency, currencies or currency units in which payment of the principal of and interest, if any, on the Securities of the series will be made; </w:t>
      </w:r>
    </w:p>
    <w:p>
      <w:pPr>
        <w:pStyle w:val="TextBody"/>
        <w:bidi w:val="0"/>
        <w:spacing w:before="240" w:after="0"/>
        <w:jc w:val="left"/>
        <w:rPr>
          <w:rFonts w:ascii="Times New Roman" w:hAnsi="Times New Roman"/>
          <w:sz w:val="20"/>
        </w:rPr>
      </w:pPr>
      <w:r>
        <w:rPr>
          <w:rFonts w:ascii="Times New Roman" w:hAnsi="Times New Roman"/>
          <w:sz w:val="20"/>
        </w:rPr>
        <w:t xml:space="preserve">(s)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(t)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 </w:t>
      </w:r>
    </w:p>
    <w:p>
      <w:pPr>
        <w:pStyle w:val="TextBody"/>
        <w:bidi w:val="0"/>
        <w:spacing w:before="240" w:after="0"/>
        <w:jc w:val="left"/>
        <w:rPr>
          <w:rFonts w:ascii="Times New Roman" w:hAnsi="Times New Roman"/>
          <w:sz w:val="20"/>
        </w:rPr>
      </w:pPr>
      <w:r>
        <w:rPr>
          <w:rFonts w:ascii="Times New Roman" w:hAnsi="Times New Roman"/>
          <w:sz w:val="20"/>
        </w:rPr>
        <w:t xml:space="preserve">(u) the terms and conditions, if any, upon which the Company shall pay amounts in addition to the stated interest, premium, if any, and principal amounts of the Securities of the series to any Securityholder that is not a “United States person” for federal tax purposes; </w:t>
      </w:r>
    </w:p>
    <w:p>
      <w:pPr>
        <w:pStyle w:val="TextBody"/>
        <w:bidi w:val="0"/>
        <w:spacing w:before="240" w:after="0"/>
        <w:jc w:val="left"/>
        <w:rPr>
          <w:rFonts w:ascii="Times New Roman" w:hAnsi="Times New Roman"/>
          <w:sz w:val="20"/>
        </w:rPr>
      </w:pPr>
      <w:r>
        <w:rPr>
          <w:rFonts w:ascii="Times New Roman" w:hAnsi="Times New Roman"/>
          <w:sz w:val="20"/>
        </w:rPr>
        <w:t xml:space="preserve">(v) any restrictions on transfer, sale or assignment of the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(w) whether any of the Company’s direct or indirect Subsidiaries will guarantee the Securities of that series, including the terms of subordination, if any, of such guarantees; </w:t>
      </w:r>
    </w:p>
    <w:p>
      <w:pPr>
        <w:pStyle w:val="TextBody"/>
        <w:bidi w:val="0"/>
        <w:spacing w:before="240" w:after="0"/>
        <w:jc w:val="left"/>
        <w:rPr>
          <w:rFonts w:ascii="Times New Roman" w:hAnsi="Times New Roman"/>
          <w:sz w:val="20"/>
        </w:rPr>
      </w:pPr>
      <w:r>
        <w:rPr>
          <w:rFonts w:ascii="Times New Roman" w:hAnsi="Times New Roman"/>
          <w:sz w:val="20"/>
        </w:rPr>
        <w:t xml:space="preserve">(x) the subordination terms of the Securities of the series; and </w:t>
      </w:r>
    </w:p>
    <w:p>
      <w:pPr>
        <w:pStyle w:val="TextBody"/>
        <w:bidi w:val="0"/>
        <w:spacing w:before="240" w:after="0"/>
        <w:jc w:val="left"/>
        <w:rPr>
          <w:rFonts w:ascii="Times New Roman" w:hAnsi="Times New Roman"/>
          <w:sz w:val="20"/>
        </w:rPr>
      </w:pPr>
      <w:r>
        <w:rPr>
          <w:rFonts w:ascii="Times New Roman" w:hAnsi="Times New Roman"/>
          <w:sz w:val="20"/>
        </w:rPr>
        <w:t xml:space="preserve">(y) 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shall be substantially identical except as to denomination and except as may otherwise be provided in or pursuant to any such Board Resolution or in any indentures supplemental hereto. </w:t>
      </w:r>
    </w:p>
    <w:p>
      <w:pPr>
        <w:pStyle w:val="TextBody"/>
        <w:bidi w:val="0"/>
        <w:spacing w:before="240" w:after="0"/>
        <w:jc w:val="left"/>
        <w:rPr>
          <w:rFonts w:ascii="Times New Roman" w:hAnsi="Times New Roman"/>
          <w:sz w:val="20"/>
        </w:rPr>
      </w:pPr>
      <w:r>
        <w:rPr>
          <w:rFonts w:ascii="Times New Roman" w:hAnsi="Times New Roman"/>
          <w:sz w:val="20"/>
        </w:rPr>
        <w:t xml:space="preserve">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 </w:t>
      </w:r>
    </w:p>
    <w:p>
      <w:pPr>
        <w:pStyle w:val="TextBody"/>
        <w:bidi w:val="0"/>
        <w:spacing w:before="240" w:after="0"/>
        <w:jc w:val="left"/>
        <w:rPr>
          <w:rFonts w:ascii="Times New Roman" w:hAnsi="Times New Roman"/>
          <w:sz w:val="20"/>
        </w:rPr>
      </w:pPr>
      <w:r>
        <w:rPr>
          <w:rFonts w:ascii="Times New Roman" w:hAnsi="Times New Roman"/>
          <w:sz w:val="20"/>
        </w:rPr>
        <w:t>Section 2.2</w:t>
      </w:r>
      <w:r>
        <w:rPr>
          <w:rFonts w:ascii="Times New Roman" w:hAnsi="Times New Roman"/>
          <w:sz w:val="20"/>
          <w:u w:val="single"/>
        </w:rPr>
        <w:t xml:space="preserve"> Form Of Securities And Trustee’s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 </w:t>
      </w:r>
    </w:p>
    <w:p>
      <w:pPr>
        <w:pStyle w:val="TextBody"/>
        <w:bidi w:val="0"/>
        <w:spacing w:before="240" w:after="0"/>
        <w:jc w:val="left"/>
        <w:rPr>
          <w:rFonts w:ascii="Times New Roman" w:hAnsi="Times New Roman"/>
          <w:sz w:val="20"/>
        </w:rPr>
      </w:pPr>
      <w:r>
        <w:rPr>
          <w:rFonts w:ascii="Times New Roman" w:hAnsi="Times New Roman"/>
          <w:sz w:val="20"/>
        </w:rPr>
        <w:t>Section 2.3</w:t>
      </w:r>
      <w:r>
        <w:rPr>
          <w:rFonts w:ascii="Times New Roman" w:hAnsi="Times New Roman"/>
          <w:sz w:val="20"/>
          <w:u w:val="single"/>
        </w:rPr>
        <w:t xml:space="preserve"> Denominations; Provisions For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issuable as registered Securities and in the denominations of one thousand U.S. dollars ($1,000) or any integral multiple thereof, subject to Section 2.1(j). The Securities of a particular series shall bear interest payable on the dates and at the rate specified with respect to that series. The principal of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Unless otherwise set forth in a Board Resolution or one or more indentures supplemental hereto establishing the terms of any series of Securities pursuant to Section 2.1 hereof, each Security shall be dated the date of its authentication. Interest on the Securities shall be computed on the basis of a 360-day year composed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3.3. </w:t>
      </w:r>
    </w:p>
    <w:p>
      <w:pPr>
        <w:pStyle w:val="TextBody"/>
        <w:bidi w:val="0"/>
        <w:spacing w:before="240" w:after="0"/>
        <w:jc w:val="left"/>
        <w:rPr>
          <w:rFonts w:ascii="Times New Roman" w:hAnsi="Times New Roman"/>
          <w:sz w:val="20"/>
        </w:rPr>
      </w:pPr>
      <w:r>
        <w:rPr>
          <w:rFonts w:ascii="Times New Roman" w:hAnsi="Times New Roman"/>
          <w:sz w:val="20"/>
        </w:rPr>
        <w:t xml:space="preserve">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(a) or clause (b) below: </w:t>
      </w:r>
    </w:p>
    <w:p>
      <w:pPr>
        <w:pStyle w:val="TextBody"/>
        <w:bidi w:val="0"/>
        <w:spacing w:before="240" w:after="0"/>
        <w:jc w:val="left"/>
        <w:rPr>
          <w:rFonts w:ascii="Times New Roman" w:hAnsi="Times New Roman"/>
          <w:sz w:val="20"/>
        </w:rPr>
      </w:pPr>
      <w:r>
        <w:rPr>
          <w:rFonts w:ascii="Times New Roman" w:hAnsi="Times New Roman"/>
          <w:sz w:val="20"/>
        </w:rPr>
        <w:t xml:space="preserve">(a) 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set forth in a Board Resolution or one or more indentures supplemental hereto establishing the terms of any series of Securities pursuant to Section 2.1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2.1 hereof shall occur, if such Interest Payment Date is the first day of a month, or the last day of the month immediately preceding the month in which an Interest Payment Date established for such series pursuant to Section 2.1 hereof shall occur, if such Interest Payment Date is the fifteenth day of a month, whether or not such date is a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 </w:t>
      </w:r>
    </w:p>
    <w:p>
      <w:pPr>
        <w:pStyle w:val="TextBody"/>
        <w:bidi w:val="0"/>
        <w:spacing w:before="240" w:after="0"/>
        <w:jc w:val="left"/>
        <w:rPr>
          <w:rFonts w:ascii="Times New Roman" w:hAnsi="Times New Roman"/>
          <w:sz w:val="20"/>
        </w:rPr>
      </w:pPr>
      <w:r>
        <w:rPr>
          <w:rFonts w:ascii="Times New Roman" w:hAnsi="Times New Roman"/>
          <w:sz w:val="20"/>
        </w:rPr>
        <w:t>Section 2.4</w:t>
      </w:r>
      <w:r>
        <w:rPr>
          <w:rFonts w:ascii="Times New Roman" w:hAnsi="Times New Roman"/>
          <w:sz w:val="20"/>
          <w:u w:val="single"/>
        </w:rPr>
        <w:t xml:space="preserve"> Execution And Authentications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signed on behalf of the Company by its chief executive officer, or its president, or one of its senior vice presidents, or one of its vice presidents, or its chief financial officer, or its chief legal officer, or its treasurer, or one of its assistant treasurers, or its controller or one of its assistant controllers, or its secretary, or one of its assistant secretaries, under its corporate seal, if one is in use by the Company, attested by its secretary or one of its assistant secretaries. Signatures may be in the form of a manual or facsimile signature. For purposes of clarity, the Securities must bear two unique signatures.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use the facsimile signature of any Person who shall have been a chief executive officer, president, senior vice president or vice president, chief financial officer, chief legal officer, treasurer or assistant treasurer, controller or assistant controller, secretary or assistant secretary thereof, notwithstanding the fact that at the time the Securities shall be authenticated and delivered or disposed of such Person shall have ceased to be such an officer of the Company. The seal of the Company may be in the form of a facsimile of such seal and may be impressed, affixed, imprinted or otherwise reproduced on the Securities. The Securities may contain such notations, legends or endorsements required by law, stock exchange rule or usage. Each Security shall be dated the date of its authentication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signed by its chief executive officer, president, any senior vice president or vice president, chief financial officer, chief legal officer, treasurer or any assistant treasurer, or controller or any assistant controller, and its secretary or any assistant secretary, and the Trustee in accordance with such Company Order shall authenticate and deliver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authenticating such Securities and accepting the additional responsibilities under this Indenture in relation to such Securities, the Trustee shall be entitled to receive, and (subject to Section 7.1) shall be fully protected in relying upon, an Opinion of Counsel stating that the form and terms thereof have been established in conformity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 </w:t>
      </w:r>
    </w:p>
    <w:p>
      <w:pPr>
        <w:pStyle w:val="TextBody"/>
        <w:bidi w:val="0"/>
        <w:spacing w:before="240" w:after="0"/>
        <w:jc w:val="left"/>
        <w:rPr>
          <w:rFonts w:ascii="Times New Roman" w:hAnsi="Times New Roman"/>
          <w:sz w:val="20"/>
        </w:rPr>
      </w:pPr>
      <w:r>
        <w:rPr>
          <w:rFonts w:ascii="Times New Roman" w:hAnsi="Times New Roman"/>
          <w:sz w:val="20"/>
        </w:rPr>
        <w:t>Section 2.5</w:t>
      </w:r>
      <w:r>
        <w:rPr>
          <w:rFonts w:ascii="Times New Roman" w:hAnsi="Times New Roman"/>
          <w:sz w:val="20"/>
          <w:u w:val="single"/>
        </w:rPr>
        <w:t xml:space="preserve"> Registration Of 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 </w:t>
      </w:r>
    </w:p>
    <w:p>
      <w:pPr>
        <w:pStyle w:val="TextBody"/>
        <w:bidi w:val="0"/>
        <w:spacing w:before="240" w:after="0"/>
        <w:jc w:val="left"/>
        <w:rPr>
          <w:rFonts w:ascii="Times New Roman" w:hAnsi="Times New Roman"/>
          <w:sz w:val="20"/>
        </w:rPr>
      </w:pPr>
      <w:r>
        <w:rPr>
          <w:rFonts w:ascii="Times New Roman" w:hAnsi="Times New Roman"/>
          <w:sz w:val="20"/>
        </w:rPr>
        <w:t xml:space="preserve">(c) Except as provided pursuant to Section 2.1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2.6, Section 3.3(b) and Section 9.4 not involving any transfer.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2.5 are, with respect to any Global Security, subject to Section 2.11 hereof. </w:t>
      </w:r>
    </w:p>
    <w:p>
      <w:pPr>
        <w:pStyle w:val="TextBody"/>
        <w:bidi w:val="0"/>
        <w:spacing w:before="240" w:after="0"/>
        <w:jc w:val="left"/>
        <w:rPr>
          <w:rFonts w:ascii="Times New Roman" w:hAnsi="Times New Roman"/>
          <w:sz w:val="20"/>
        </w:rPr>
      </w:pPr>
      <w:r>
        <w:rPr>
          <w:rFonts w:ascii="Times New Roman" w:hAnsi="Times New Roman"/>
          <w:sz w:val="20"/>
        </w:rPr>
        <w:t>Section 2.6</w:t>
      </w:r>
      <w:r>
        <w:rPr>
          <w:rFonts w:ascii="Times New Roman" w:hAnsi="Times New Roman"/>
          <w:sz w:val="20"/>
          <w:u w:val="single"/>
        </w:rPr>
        <w:t xml:space="preserve"> Temporary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Pending the preparation of definitive Securities of any series, the Company may execute, and the Trustee shall authenticate and deliver, temporary Securities (printed, lithographed or typewritten) of any authorized denomination pursuant to a Company Order.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 </w:t>
      </w:r>
    </w:p>
    <w:p>
      <w:pPr>
        <w:pStyle w:val="TextBody"/>
        <w:bidi w:val="0"/>
        <w:spacing w:before="240" w:after="0"/>
        <w:jc w:val="left"/>
        <w:rPr>
          <w:rFonts w:ascii="Times New Roman" w:hAnsi="Times New Roman"/>
          <w:sz w:val="20"/>
        </w:rPr>
      </w:pPr>
      <w:r>
        <w:rPr>
          <w:rFonts w:ascii="Times New Roman" w:hAnsi="Times New Roman"/>
          <w:sz w:val="20"/>
        </w:rPr>
        <w:t>Section 2.7</w:t>
      </w:r>
      <w:r>
        <w:rPr>
          <w:rFonts w:ascii="Times New Roman" w:hAnsi="Times New Roman"/>
          <w:sz w:val="20"/>
          <w:u w:val="single"/>
        </w:rPr>
        <w:t xml:space="preserve"> Mutilated, Destroyed, Lost Or Stolen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 </w:t>
      </w:r>
    </w:p>
    <w:p>
      <w:pPr>
        <w:pStyle w:val="TextBody"/>
        <w:bidi w:val="0"/>
        <w:spacing w:before="240" w:after="0"/>
        <w:jc w:val="left"/>
        <w:rPr>
          <w:rFonts w:ascii="Times New Roman" w:hAnsi="Times New Roman"/>
          <w:sz w:val="20"/>
        </w:rPr>
      </w:pPr>
      <w:r>
        <w:rPr>
          <w:rFonts w:ascii="Times New Roman" w:hAnsi="Times New Roman"/>
          <w:sz w:val="20"/>
        </w:rPr>
        <w:t xml:space="preserve">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Cancellation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Section 2.9 </w:t>
      </w:r>
      <w:r>
        <w:rPr>
          <w:rFonts w:ascii="Times New Roman" w:hAnsi="Times New Roman"/>
          <w:sz w:val="20"/>
          <w:u w:val="single"/>
        </w:rPr>
        <w:t>Benefits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Indenture or in the Securities, express or implied, shall give or be construed to give to any Person, other than the parties hereto and the holders of the Securities (and, with respect to the provisions of Article XIV, the holders of any indebtedness of the Company to which the Securities of any series are subordinated)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Article XIV, the holders of any indebtedness of the Company to which the Securities of any series are subordinated).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Authenticating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Global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the Company shall establish pursuant to Section 2.1 that the Securities of a particular series are to be issued as a Global Security, then the Company shall execute and the Trustee shall, in accordance with Section 2.4,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 (iv) shall bear a legend substantially to the following effect: </w:t>
      </w:r>
    </w:p>
    <w:p>
      <w:pPr>
        <w:pStyle w:val="TextBody"/>
        <w:bidi w:val="0"/>
        <w:spacing w:before="120" w:after="0"/>
        <w:jc w:val="left"/>
        <w:rPr/>
      </w:pPr>
      <w:r>
        <w:rPr/>
        <w:t>“</w:t>
      </w:r>
      <w:r>
        <w:rPr>
          <w:rFonts w:ascii="Times New Roman" w:hAnsi="Times New Roman"/>
          <w:sz w:val="20"/>
        </w:rPr>
        <w:t xml:space="preserve">This Security is a Global Security within the meaning of the Indenture hereinafter referred to and is registered in the name of the Depositary or a nominee of the Depositary. Except as otherwise provided in Section 2.11 of the Indenture, this Security may be transferred, in whole but not in part, only to another nominee of the Depositary or to a successor Depositary or to a nominee of such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provisions of Section 2.5, the Global Security of a series may be transferred, in whole but not in part and in the manner provided in Section 2.5, only to another nominee of the Depositary for such series, or to a successor Depositary for such series selected or approved by the Company or to a nominee of such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(c) 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this Section 2.11 shall no longer be applicable to the Securities of such series and the Company will execute, and subject to Section 2.4,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CUSIP Numbers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Trustee shall have no liability for any defect in the “CUSIP” numbers as they appear on any Security, notice or elsewhere. The Company will promptly notify the Trustee in writing of any change in the “CUSIP” numbers.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Of Securities And Sinking Fund Provisions </w:t>
      </w:r>
    </w:p>
    <w:p>
      <w:pPr>
        <w:pStyle w:val="TextBody"/>
        <w:bidi w:val="0"/>
        <w:spacing w:before="12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redeem the Securities of any series issued hereunder on and after the dates and in accordance with the terms established for such series pursuant to Section 2.1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case the Company shall desire to exercise such right to redeem all or, as the case may be, a portion of the Securities of any series in accordance with any right the Company reserved for itself to do so pursuant to Section 2.1 hereof,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 </w:t>
      </w:r>
    </w:p>
    <w:p>
      <w:pPr>
        <w:pStyle w:val="TextBody"/>
        <w:bidi w:val="0"/>
        <w:spacing w:before="240" w:after="0"/>
        <w:jc w:val="left"/>
        <w:rPr>
          <w:rFonts w:ascii="Times New Roman" w:hAnsi="Times New Roman"/>
          <w:sz w:val="20"/>
        </w:rPr>
      </w:pPr>
      <w:r>
        <w:rPr>
          <w:rFonts w:ascii="Times New Roman" w:hAnsi="Times New Roman"/>
          <w:sz w:val="20"/>
        </w:rPr>
        <w:t xml:space="preserve">Each such notice of redemption shall specify the date fixed for redemption and the redemption price at which Securities of that series are to be redeemed,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and shall state any other information as may be required by the terms of the Securities of any series being redeemed. If less than all the Securities of a series are to be redeemed, the notice to the holders of Securities of that series to be redeemed in part shall specify the particular Securities to be so redeemed. </w:t>
      </w:r>
    </w:p>
    <w:p>
      <w:pPr>
        <w:pStyle w:val="TextBody"/>
        <w:bidi w:val="0"/>
        <w:spacing w:before="240" w:after="0"/>
        <w:jc w:val="left"/>
        <w:rPr>
          <w:rFonts w:ascii="Times New Roman" w:hAnsi="Times New Roman"/>
          <w:sz w:val="20"/>
        </w:rPr>
      </w:pPr>
      <w:r>
        <w:rPr>
          <w:rFonts w:ascii="Times New Roman" w:hAnsi="Times New Roman"/>
          <w:sz w:val="20"/>
        </w:rPr>
        <w:t xml:space="preserve">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 </w:t>
      </w:r>
    </w:p>
    <w:p>
      <w:pPr>
        <w:pStyle w:val="TextBody"/>
        <w:bidi w:val="0"/>
        <w:spacing w:before="240" w:after="0"/>
        <w:jc w:val="left"/>
        <w:rPr>
          <w:rFonts w:ascii="Times New Roman" w:hAnsi="Times New Roman"/>
          <w:sz w:val="20"/>
        </w:rPr>
      </w:pPr>
      <w:r>
        <w:rPr>
          <w:rFonts w:ascii="Times New Roman" w:hAnsi="Times New Roman"/>
          <w:sz w:val="20"/>
        </w:rPr>
        <w:t xml:space="preserve">(b) If less than all the Securities of a series are to be redeemed, the Company shall give the Trustee at least 45 days’ notice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its chief executive officer, president or any senior vice president or vice president, instruct the Trustee or any paying agent to call all or any part of the Securities of a particular series for redemption and to give notice of redemption in the manner set forth in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Payment Upon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2.3). </w:t>
      </w:r>
    </w:p>
    <w:p>
      <w:pPr>
        <w:pStyle w:val="TextBody"/>
        <w:bidi w:val="0"/>
        <w:spacing w:before="240" w:after="0"/>
        <w:jc w:val="left"/>
        <w:rPr>
          <w:rFonts w:ascii="Times New Roman" w:hAnsi="Times New Roman"/>
          <w:sz w:val="20"/>
        </w:rPr>
      </w:pPr>
      <w:r>
        <w:rPr>
          <w:rFonts w:ascii="Times New Roman" w:hAnsi="Times New Roman"/>
          <w:sz w:val="20"/>
        </w:rPr>
        <w:t xml:space="preserve">(b) 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Sections 3.4, 3.5 and 3.6 shall be applicable to any sinking fund for the retirement of Securities of a series, except as otherwise specified as contemplated by Section 2.1 for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3.5. Each sinking fund payment shall be applied to the redemption of Securities of any series as provided for by the terms of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Satisfaction Of Sinking Fund Payments With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 may deliver Outstanding Securities of a series and (b)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Redemption Of Securities For 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 less than 45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3.5 and the basis for such credit and will, together with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Officers’ Certificate, deliver to the Trustee any Securities to be so delivered. Not less than 30 days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3.2. Such notice having been duly given, the redemption of such Securities shall be made upon the terms and in the manner stated in Section 3.3.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Payment Of Principal, Premium And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duly and punctually pay or cause to be paid directly or through a paying agent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(such a wire transfer to be made only to a Securityholder of an aggregate principal amount of Securities of the applicable series in excess of U.S. $2,000,000 and only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(such a wire transfer to be made only to a Securityholder of an aggregate principal amount of Securities of the applicable series in excess of U.S. $2,000,000 and only if such Securityholder shall have furnished wire instructions in writing to the Security Registrar and the Trustee no later than 15 days prior to the relevant payment date).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Maintenance Of Office Or Agency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4.2, where (a) Securities of that series may be presented for payment, (b) Securities of that series may be presented as herein above authorized for registration of transfer and exchange, and (c)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 ] an affiliate of the Trustee, located in the Borough of Manhattan, the City and State of New York as its paying agent with respect to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Paying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(i) 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that it will give the Trustee notice of any failure by the Company (or by any other obligor of such Securities) to make any payment of the principal of (and premium, if any) or interest on the Securities of that series when the same shall be due and payable; </w:t>
      </w:r>
    </w:p>
    <w:p>
      <w:pPr>
        <w:pStyle w:val="TextBody"/>
        <w:bidi w:val="0"/>
        <w:spacing w:before="120" w:after="0"/>
        <w:jc w:val="left"/>
        <w:rPr>
          <w:rFonts w:ascii="Times New Roman" w:hAnsi="Times New Roman"/>
          <w:sz w:val="20"/>
        </w:rPr>
      </w:pPr>
      <w:r>
        <w:rPr>
          <w:rFonts w:ascii="Times New Roman" w:hAnsi="Times New Roman"/>
          <w:sz w:val="20"/>
        </w:rPr>
        <w:t xml:space="preserve">(iii) that it will, at any time during the continuance of any failure referred to in the preceding paragraph (a)(ii) above, upon the written request of the Trustee, forthwith pay to the Trustee all sums so held in trust by such paying agent; and </w:t>
      </w:r>
    </w:p>
    <w:p>
      <w:pPr>
        <w:pStyle w:val="TextBody"/>
        <w:bidi w:val="0"/>
        <w:spacing w:before="120" w:after="0"/>
        <w:jc w:val="left"/>
        <w:rPr>
          <w:rFonts w:ascii="Times New Roman" w:hAnsi="Times New Roman"/>
          <w:sz w:val="20"/>
        </w:rPr>
      </w:pPr>
      <w:r>
        <w:rPr>
          <w:rFonts w:ascii="Times New Roman" w:hAnsi="Times New Roman"/>
          <w:sz w:val="20"/>
        </w:rPr>
        <w:t xml:space="preserve">(iv) that it will perform all other duties of paying agent as set forth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in this Section to the contrary, (i) the agreement to hold sums in trust as provided in this Section is subject to the provisions of Section 11.7,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Appointment To Fill Vacancy In Office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whenever necessary to avoid or fill a vacancy in the office of Trustee, will appoint, in the manner provided in Section 7.10, a Trustee, so that there shall at all times be a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Compliance With Consolidation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X hereof are complied with.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Securityholders’ Lists And Reports </w:t>
      </w:r>
    </w:p>
    <w:p>
      <w:pPr>
        <w:pStyle w:val="TextBody"/>
        <w:bidi w:val="0"/>
        <w:spacing w:before="0" w:after="0"/>
        <w:jc w:val="center"/>
        <w:rPr>
          <w:rFonts w:ascii="Times New Roman" w:hAnsi="Times New Roman"/>
          <w:b/>
          <w:sz w:val="20"/>
        </w:rPr>
      </w:pPr>
      <w:r>
        <w:rPr>
          <w:rFonts w:ascii="Times New Roman" w:hAnsi="Times New Roman"/>
          <w:b/>
          <w:sz w:val="20"/>
        </w:rPr>
        <w:t xml:space="preserve">By The Company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Company To Furnish Trustee Names And Addresses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furnish or cause to be furnished to the Trustee (a) on each regular record date (as defined in Section 2.3) in compliance with Section 312(a) of the Trust Indenture Act,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Preservation Of Information; Communications With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shall preserve, in as current a form as is reasonably practicable, all information as to the names and addresses of the holders of Securities contained in the most recent list furnished to it as provided in Section 5.1 and as to the names and addresses of holders of Securities received by the Trustee in its capacity as Security Registrar (if acting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(b) The Trustee may destroy any list furnished to it as provided in Section 5.1 upon receipt of a new list so furnished. </w:t>
      </w:r>
    </w:p>
    <w:p>
      <w:pPr>
        <w:pStyle w:val="TextBody"/>
        <w:bidi w:val="0"/>
        <w:spacing w:before="240" w:after="0"/>
        <w:jc w:val="left"/>
        <w:rPr>
          <w:rFonts w:ascii="Times New Roman" w:hAnsi="Times New Roman"/>
          <w:sz w:val="20"/>
        </w:rPr>
      </w:pPr>
      <w:r>
        <w:rPr>
          <w:rFonts w:ascii="Times New Roman" w:hAnsi="Times New Roman"/>
          <w:sz w:val="20"/>
        </w:rPr>
        <w:t xml:space="preserve">(c) 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 The Company, the Trustee and anyone else shall have the protection of Section 312(c)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Reports By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long as any Securities are Outstanding, the Company shall file with the Trustee, and transmit to the holders, such information, documents and other reports, and such summaries thereof, as may be required pursuant to Section 314(a) of the Trust Indenture Act. All reports, information and documents referred to in this Section 5.3 will be deemed to be filed with the Trustee and transmitted to the holders at the time such reports, information or documents are publicly filed with the Securities and Exchange Commission (the “SEC”) via the SEC’s EDGAR filing system (or any successor system), it being understood that the Trustee shall have no responsibility whatsoever to determine if such filings have been made.. </w:t>
      </w:r>
    </w:p>
    <w:p>
      <w:pPr>
        <w:pStyle w:val="TextBody"/>
        <w:bidi w:val="0"/>
        <w:spacing w:before="240" w:after="0"/>
        <w:jc w:val="left"/>
        <w:rPr>
          <w:rFonts w:ascii="Times New Roman" w:hAnsi="Times New Roman"/>
          <w:sz w:val="20"/>
        </w:rPr>
      </w:pPr>
      <w:r>
        <w:rPr>
          <w:rFonts w:ascii="Times New Roman" w:hAnsi="Times New Roman"/>
          <w:sz w:val="20"/>
        </w:rPr>
        <w:t xml:space="preserve">(b) Delivery of reports, information and documents to the Trustee under this Section 5.3 are for informational purposes only and shall not constitute a representation or warranty as to the accuracy or completeness of the reports, information and documents. The Trustee’s receipt of the foregoing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Reports By The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shall transmit to the Securityholders such reports concerning the Trustee and its actions under this Indenture as may be required pursuant to the Trust Indenture Act at the time and in the manner provided pursuant thereto. If required by Section 313(a) of the Trust Indenture Act, the Trustee shall, within 60 days after each [_____] following the date of this Indenture, deliver to holders a brief report, which complies with the provisions of such Section 313(a). </w:t>
      </w:r>
    </w:p>
    <w:p>
      <w:pPr>
        <w:pStyle w:val="TextBody"/>
        <w:bidi w:val="0"/>
        <w:spacing w:before="240" w:after="0"/>
        <w:jc w:val="left"/>
        <w:rPr>
          <w:rFonts w:ascii="Times New Roman" w:hAnsi="Times New Roman"/>
          <w:sz w:val="20"/>
        </w:rPr>
      </w:pPr>
      <w:r>
        <w:rPr>
          <w:rFonts w:ascii="Times New Roman" w:hAnsi="Times New Roman"/>
          <w:sz w:val="20"/>
        </w:rPr>
        <w:t xml:space="preserve">(b) The Trustee shall comply with Section 313(b), (c) and (d)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(c) A copy of each such report shall, at the time of such transmission to Securityholders, be filed by the Trustee with the Company, with each securities exchange upon which any Securities are listed (if so listed) and also with the Securities and Exchange Commission. The Company agrees to notify the Trustee when any Securities become listed on any securities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Remedies Of The Trustee And </w:t>
      </w:r>
    </w:p>
    <w:p>
      <w:pPr>
        <w:pStyle w:val="TextBody"/>
        <w:bidi w:val="0"/>
        <w:spacing w:before="0" w:after="0"/>
        <w:jc w:val="center"/>
        <w:rPr>
          <w:rFonts w:ascii="Times New Roman" w:hAnsi="Times New Roman"/>
          <w:b/>
          <w:sz w:val="20"/>
        </w:rPr>
      </w:pPr>
      <w:r>
        <w:rPr>
          <w:rFonts w:ascii="Times New Roman" w:hAnsi="Times New Roman"/>
          <w:b/>
          <w:sz w:val="20"/>
        </w:rPr>
        <w:t xml:space="preserve">Securityholders On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Whenever used herein with respect to Securities of a particular series, “Event of Default” means any one or more of the following events that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(i) the Company defaults in the payment of any installment of interest upon any of the Securities of that series, as and when the same shall become due and payable, and such default continues for a period of 30 days; provided, however, that a valid extension of an interest payment period by the Company in accordance with the terms of any indenture supplemental hereto shall not constitute a default in the payment of interest for this purpose;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 fails to observe or perform any other of its covenants or agreements with respect to that series contained in this Indenture or otherwise established with respect to that series of Securities pursuant to Section 2.1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(iv) the Company pursuant to or within the meaning of any Bankruptcy Law (A) commences a voluntary case, (B) consents to the entry of an order for relief against it in an involuntary case, (C) consents to the appointment of a Custodian of it or for all or substantially all of its property or (D) makes a general assignment for the benefit of its creditors; </w:t>
      </w:r>
    </w:p>
    <w:p>
      <w:pPr>
        <w:pStyle w:val="TextBody"/>
        <w:bidi w:val="0"/>
        <w:spacing w:before="120" w:after="0"/>
        <w:jc w:val="left"/>
        <w:rPr>
          <w:rFonts w:ascii="Times New Roman" w:hAnsi="Times New Roman"/>
          <w:sz w:val="20"/>
        </w:rPr>
      </w:pPr>
      <w:r>
        <w:rPr>
          <w:rFonts w:ascii="Times New Roman" w:hAnsi="Times New Roman"/>
          <w:sz w:val="20"/>
        </w:rPr>
        <w:t xml:space="preserve">(v) a court of competent jurisdiction enters an order under any Bankruptcy Law that (A) is for relief against the Company in an involuntary case, (B) appoints a Custodian of the Company for all or substantially all of its property or (C) orders the liquidation of the Company, and the order or decree remains unstayed and in effect for 90 days; or </w:t>
      </w:r>
    </w:p>
    <w:p>
      <w:pPr>
        <w:pStyle w:val="TextBody"/>
        <w:bidi w:val="0"/>
        <w:spacing w:before="120" w:after="0"/>
        <w:jc w:val="left"/>
        <w:rPr>
          <w:rFonts w:ascii="Times New Roman" w:hAnsi="Times New Roman"/>
          <w:sz w:val="20"/>
        </w:rPr>
      </w:pPr>
      <w:r>
        <w:rPr>
          <w:rFonts w:ascii="Times New Roman" w:hAnsi="Times New Roman"/>
          <w:sz w:val="20"/>
        </w:rPr>
        <w:t xml:space="preserve">(vi) any other Event of Default established with respect to that series of Securities pursuant to Section 2.1 hereof. </w:t>
      </w:r>
    </w:p>
    <w:p>
      <w:pPr>
        <w:pStyle w:val="TextBody"/>
        <w:bidi w:val="0"/>
        <w:spacing w:before="240" w:after="0"/>
        <w:jc w:val="left"/>
        <w:rPr>
          <w:rFonts w:ascii="Times New Roman" w:hAnsi="Times New Roman"/>
          <w:sz w:val="20"/>
        </w:rPr>
      </w:pPr>
      <w:r>
        <w:rPr>
          <w:rFonts w:ascii="Times New Roman" w:hAnsi="Times New Roman"/>
          <w:sz w:val="20"/>
        </w:rPr>
        <w:t xml:space="preserve">(b) In each and every such case (other than an Event of Default specified in clause (iv) or clause (v) immediately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(iv) or clause (v) immediately above occurs, the principal of and accrued and unpaid interest on all the Securities of that series shall automatically be immediately due and payable without any declaration or other act on the part of the Trustee or the holders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6.6.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and annulment shall extend to or shall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(d) 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the Trustee and the holders shall be restored respectively to their former positions and rights hereunder, and all rights, remedies and powers of the Company, the Trustee and the holders, as applicable, shall continue as though no such proceedings had been taken.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Collection Of Indebtedness And Suits For Enforcement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covenants that (i) in case it shall default in the payment of any installment of interest on any of the Securities of a series, and such default shall have continued for a period of 90 Business Days, or (ii) in case it shall default in the payment of the principal of (or premium, if any, on) any of the Securities of a series when the same shall have become due and payable, whether upon maturity of the Securities of a series or upon redemption or upon declaration or otherwise, or in any payment required by any sinking or analogous fund established with respect to that series as and when the same shall have become due and payable,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7.6. </w:t>
      </w:r>
    </w:p>
    <w:p>
      <w:pPr>
        <w:pStyle w:val="TextBody"/>
        <w:bidi w:val="0"/>
        <w:spacing w:before="240" w:after="0"/>
        <w:jc w:val="left"/>
        <w:rPr>
          <w:rFonts w:ascii="Times New Roman" w:hAnsi="Times New Roman"/>
          <w:sz w:val="20"/>
        </w:rPr>
      </w:pPr>
      <w:r>
        <w:rPr>
          <w:rFonts w:ascii="Times New Roman" w:hAnsi="Times New Roman"/>
          <w:sz w:val="20"/>
        </w:rPr>
        <w:t xml:space="preserve">(b) 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 </w:t>
      </w:r>
    </w:p>
    <w:p>
      <w:pPr>
        <w:pStyle w:val="TextBody"/>
        <w:bidi w:val="0"/>
        <w:spacing w:before="240" w:after="0"/>
        <w:jc w:val="left"/>
        <w:rPr>
          <w:rFonts w:ascii="Times New Roman" w:hAnsi="Times New Roman"/>
          <w:sz w:val="20"/>
        </w:rPr>
      </w:pPr>
      <w:r>
        <w:rPr>
          <w:rFonts w:ascii="Times New Roman" w:hAnsi="Times New Roman"/>
          <w:sz w:val="20"/>
        </w:rPr>
        <w:t xml:space="preserve">(c) 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claim, and to distribute the same after the deduction of the amount payable to the Trustee under Section 7.6;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7.6. </w:t>
      </w:r>
    </w:p>
    <w:p>
      <w:pPr>
        <w:pStyle w:val="TextBody"/>
        <w:bidi w:val="0"/>
        <w:spacing w:before="120" w:after="0"/>
        <w:jc w:val="left"/>
        <w:rPr>
          <w:rFonts w:ascii="Times New Roman" w:hAnsi="Times New Roman"/>
          <w:sz w:val="20"/>
        </w:rPr>
      </w:pPr>
      <w:r>
        <w:rPr>
          <w:rFonts w:ascii="Times New Roman" w:hAnsi="Times New Roman"/>
          <w:sz w:val="20"/>
        </w:rPr>
        <w:t xml:space="preserve">(d) 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7.6, be for the ratable benefit of the holders of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Application Of Moneys Collected.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 </w:t>
      </w:r>
    </w:p>
    <w:p>
      <w:pPr>
        <w:pStyle w:val="TextBody"/>
        <w:bidi w:val="0"/>
        <w:spacing w:before="240" w:after="0"/>
        <w:jc w:val="left"/>
        <w:rPr>
          <w:rFonts w:ascii="Times New Roman" w:hAnsi="Times New Roman"/>
          <w:sz w:val="20"/>
        </w:rPr>
      </w:pPr>
      <w:r>
        <w:rPr>
          <w:rFonts w:ascii="Times New Roman" w:hAnsi="Times New Roman"/>
          <w:sz w:val="20"/>
        </w:rPr>
        <w:t xml:space="preserve">FIRST: To the payment of reasonable costs and expenses of collection and of all amounts payable to the Trustee under Section 7.6; </w:t>
      </w:r>
    </w:p>
    <w:p>
      <w:pPr>
        <w:pStyle w:val="TextBody"/>
        <w:bidi w:val="0"/>
        <w:spacing w:before="240" w:after="0"/>
        <w:jc w:val="left"/>
        <w:rPr>
          <w:rFonts w:ascii="Times New Roman" w:hAnsi="Times New Roman"/>
          <w:sz w:val="20"/>
        </w:rPr>
      </w:pPr>
      <w:r>
        <w:rPr>
          <w:rFonts w:ascii="Times New Roman" w:hAnsi="Times New Roman"/>
          <w:sz w:val="20"/>
        </w:rPr>
        <w:t xml:space="preserve">SECOND: To the payment of all indebtedness of the Company to which such series of Securities is subordinated to the extent required by Article XIV; </w:t>
      </w:r>
    </w:p>
    <w:p>
      <w:pPr>
        <w:pStyle w:val="TextBody"/>
        <w:bidi w:val="0"/>
        <w:spacing w:before="240" w:after="0"/>
        <w:jc w:val="left"/>
        <w:rPr>
          <w:rFonts w:ascii="Times New Roman" w:hAnsi="Times New Roman"/>
          <w:sz w:val="20"/>
        </w:rPr>
      </w:pPr>
      <w:r>
        <w:rPr>
          <w:rFonts w:ascii="Times New Roman" w:hAnsi="Times New Roman"/>
          <w:sz w:val="20"/>
        </w:rPr>
        <w:t xml:space="preserve">THIRD: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 </w:t>
      </w:r>
    </w:p>
    <w:p>
      <w:pPr>
        <w:pStyle w:val="TextBody"/>
        <w:bidi w:val="0"/>
        <w:spacing w:before="240" w:after="0"/>
        <w:jc w:val="left"/>
        <w:rPr>
          <w:rFonts w:ascii="Times New Roman" w:hAnsi="Times New Roman"/>
          <w:sz w:val="20"/>
        </w:rPr>
      </w:pPr>
      <w:r>
        <w:rPr>
          <w:rFonts w:ascii="Times New Roman" w:hAnsi="Times New Roman"/>
          <w:sz w:val="20"/>
        </w:rPr>
        <w:t xml:space="preserve">FOURTH: To the payment of the remainder, if any, to the Company or any other Person lawfully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Limitation On Suits.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(a) such holder previously shall have given to the Trustee written notice of an Event of Default and of the continuance thereof with respect to the Securities of such series specifying such Event of Default, as hereinbefore provided; (b) the holders of not less than 25% in aggregate principal amount of the Securities of such series then Outstanding shall have given to the Trustee a written request to institute such action, suit or proceeding in its own name as Trustee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such holder or holders shall have offered to the Trustee such reasonable indemnity satisfactory to the Trustee against the costs, expenses and liabilities to be incurred therein or thereby; (d) the Trustee for 90 days after its receipt of such notice, request and offer of indemnity, shall have failed to institute any such action, suit or proceeding and (e) during such 90 day period, the holders of a majority in principal amount of the Securities of that series do not give the Trustee a direction inconsistent with the request.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Rights And Remedies Cumulative; Delay Or Omission Not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in Section 2.7,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(b) 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6.4, every power and remedy given by this Article or by law to the Trustee or the Securityholders may be exercised from time to time, and as often as shall be deemed expedient, by the Trustee or by the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Control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Securities of any series at the time Outstanding, determined in accordance with Section 8.4,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Subject to the provisions of Section 7.1, the Trustee may take any other action deemed proper by the Trustee which is not inconsistent with such direction and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Upon written notice to the Trustee, the holders of a majority in aggregate principal amount of the Securities of any series at the time Outstanding affected thereby, determined in accordance with Section 8.4, may on behalf of the holders of all of the Securities of such series waive any past default in the performance of any of the covenants contained herein or established pursuant to Section 2.1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Undertaking To Pay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Concerning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Certain Duties And Responsibilities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person would exercise or use under the circumstances in the conduct of such person’s own affairs. </w:t>
      </w:r>
    </w:p>
    <w:p>
      <w:pPr>
        <w:pStyle w:val="TextBody"/>
        <w:bidi w:val="0"/>
        <w:spacing w:before="240" w:after="0"/>
        <w:jc w:val="left"/>
        <w:rPr>
          <w:rFonts w:ascii="Times New Roman" w:hAnsi="Times New Roman"/>
          <w:sz w:val="20"/>
        </w:rPr>
      </w:pPr>
      <w:r>
        <w:rPr>
          <w:rFonts w:ascii="Times New Roman" w:hAnsi="Times New Roman"/>
          <w:sz w:val="20"/>
        </w:rPr>
        <w:t xml:space="preserve">(b) No provision of this Indenture shall be construed to relieve the Trustee from liability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(i) prior to the occurrence of an Event of Default with respect to the Securities of a series and after the curing or waiving of all such Events of Default with respect to that series that may have occurred: </w:t>
      </w:r>
    </w:p>
    <w:p>
      <w:pPr>
        <w:pStyle w:val="TextBody"/>
        <w:bidi w:val="0"/>
        <w:spacing w:before="120" w:after="0"/>
        <w:jc w:val="left"/>
        <w:rPr>
          <w:rFonts w:ascii="Times New Roman" w:hAnsi="Times New Roman"/>
          <w:sz w:val="20"/>
        </w:rPr>
      </w:pPr>
      <w:r>
        <w:rPr>
          <w:rFonts w:ascii="Times New Roman" w:hAnsi="Times New Roman"/>
          <w:sz w:val="20"/>
        </w:rPr>
        <w:t xml:space="preserve">(A) 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 </w:t>
      </w:r>
    </w:p>
    <w:p>
      <w:pPr>
        <w:pStyle w:val="TextBody"/>
        <w:bidi w:val="0"/>
        <w:spacing w:before="120" w:after="0"/>
        <w:jc w:val="left"/>
        <w:rPr>
          <w:rFonts w:ascii="Times New Roman" w:hAnsi="Times New Roman"/>
          <w:sz w:val="20"/>
        </w:rPr>
      </w:pPr>
      <w:r>
        <w:rPr>
          <w:rFonts w:ascii="Times New Roman" w:hAnsi="Times New Roman"/>
          <w:sz w:val="20"/>
        </w:rPr>
        <w:t xml:space="preserve">(B) 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(ii) the Trustee shall not be liable for any error of judgment made in good faith by a Responsible Officer or Responsible Officers of the Trustee, unless it shall be proved that the Trustee was negligent in ascertaining the pertinent facts;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 </w:t>
      </w:r>
    </w:p>
    <w:p>
      <w:pPr>
        <w:pStyle w:val="TextBody"/>
        <w:bidi w:val="0"/>
        <w:spacing w:before="120" w:after="0"/>
        <w:jc w:val="left"/>
        <w:rPr>
          <w:rFonts w:ascii="Times New Roman" w:hAnsi="Times New Roman"/>
          <w:sz w:val="20"/>
        </w:rPr>
      </w:pPr>
      <w:r>
        <w:rPr>
          <w:rFonts w:ascii="Times New Roman" w:hAnsi="Times New Roman"/>
          <w:sz w:val="20"/>
        </w:rPr>
        <w:t xml:space="preserve">(iv) 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Certain Rights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Section 7.1: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 </w:t>
      </w:r>
    </w:p>
    <w:p>
      <w:pPr>
        <w:pStyle w:val="TextBody"/>
        <w:bidi w:val="0"/>
        <w:spacing w:before="120" w:after="0"/>
        <w:jc w:val="left"/>
        <w:rPr>
          <w:rFonts w:ascii="Times New Roman" w:hAnsi="Times New Roman"/>
          <w:sz w:val="20"/>
        </w:rPr>
      </w:pPr>
      <w:r>
        <w:rPr>
          <w:rFonts w:ascii="Times New Roman" w:hAnsi="Times New Roman"/>
          <w:sz w:val="20"/>
        </w:rPr>
        <w:t xml:space="preserve">(b) 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 </w:t>
      </w:r>
    </w:p>
    <w:p>
      <w:pPr>
        <w:pStyle w:val="TextBody"/>
        <w:bidi w:val="0"/>
        <w:spacing w:before="120" w:after="0"/>
        <w:jc w:val="left"/>
        <w:rPr>
          <w:rFonts w:ascii="Times New Roman" w:hAnsi="Times New Roman"/>
          <w:sz w:val="20"/>
        </w:rPr>
      </w:pPr>
      <w:r>
        <w:rPr>
          <w:rFonts w:ascii="Times New Roman" w:hAnsi="Times New Roman"/>
          <w:sz w:val="20"/>
        </w:rPr>
        <w:t xml:space="preserve">(c) The Trustee may consult with counsel and the written advice of such counsel or any Opinion of Counsel shall be full and complete authorization and protection in respect of any action taken or suffered or omitted hereunder in good faith and in reliance thereon; </w:t>
      </w:r>
    </w:p>
    <w:p>
      <w:pPr>
        <w:pStyle w:val="TextBody"/>
        <w:bidi w:val="0"/>
        <w:spacing w:before="120" w:after="0"/>
        <w:jc w:val="left"/>
        <w:rPr>
          <w:rFonts w:ascii="Times New Roman" w:hAnsi="Times New Roman"/>
          <w:sz w:val="20"/>
        </w:rPr>
      </w:pPr>
      <w:r>
        <w:rPr>
          <w:rFonts w:ascii="Times New Roman" w:hAnsi="Times New Roman"/>
          <w:sz w:val="20"/>
        </w:rPr>
        <w:t xml:space="preserve">(d) 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person would exercise or use under the circumstances in the conduct of such person’s own affairs; </w:t>
      </w:r>
    </w:p>
    <w:p>
      <w:pPr>
        <w:pStyle w:val="TextBody"/>
        <w:bidi w:val="0"/>
        <w:spacing w:before="120" w:after="0"/>
        <w:jc w:val="left"/>
        <w:rPr>
          <w:rFonts w:ascii="Times New Roman" w:hAnsi="Times New Roman"/>
          <w:sz w:val="20"/>
        </w:rPr>
      </w:pPr>
      <w:r>
        <w:rPr>
          <w:rFonts w:ascii="Times New Roman" w:hAnsi="Times New Roman"/>
          <w:sz w:val="20"/>
        </w:rPr>
        <w:t xml:space="preserve">(e) The Trustee shall not be liable for any action taken or omitted to be taken by it in good faith and believed by it to be authorized or within the discretion or rights or powers conferred upon it by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(f) 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7.3);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Trustee Not Responsible For Recitals Or Issuance Or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recitals contained herein and in the Securities shall be taken as the statements of the Company, and the Trustee assumes no responsibility for the correctness of the same. </w:t>
      </w:r>
    </w:p>
    <w:p>
      <w:pPr>
        <w:pStyle w:val="TextBody"/>
        <w:bidi w:val="0"/>
        <w:spacing w:before="240" w:after="0"/>
        <w:jc w:val="left"/>
        <w:rPr>
          <w:rFonts w:ascii="Times New Roman" w:hAnsi="Times New Roman"/>
          <w:sz w:val="20"/>
        </w:rPr>
      </w:pPr>
      <w:r>
        <w:rPr>
          <w:rFonts w:ascii="Times New Roman" w:hAnsi="Times New Roman"/>
          <w:sz w:val="20"/>
        </w:rPr>
        <w:t xml:space="preserve">(b) The Trustee makes no representations as to the validity or sufficiency of this Indenture or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(c) 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2.1, or for the use or application of any moneys received by any paying agent other than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May Hold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or any paying agent or Security Registrar, in its individual or any other capacity, may become the owner or pledgee of Securities with the same rights it would have if it were not Trustee, paying agent or Security Registrar.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Moneys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11.7,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Compensation And Reimbursement.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and except as the Company and Trustee may from time to time agree in writing.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reasonable costs and expenses of defending itself against any claim of liability in the premises. </w:t>
      </w:r>
    </w:p>
    <w:p>
      <w:pPr>
        <w:pStyle w:val="TextBody"/>
        <w:bidi w:val="0"/>
        <w:spacing w:before="120" w:after="0"/>
        <w:jc w:val="left"/>
        <w:rPr>
          <w:rFonts w:ascii="Times New Roman" w:hAnsi="Times New Roman"/>
          <w:sz w:val="20"/>
        </w:rPr>
      </w:pPr>
      <w:r>
        <w:rPr>
          <w:rFonts w:ascii="Times New Roman" w:hAnsi="Times New Roman"/>
          <w:sz w:val="20"/>
        </w:rPr>
        <w:t xml:space="preserve">(b) The obligations of the Company under this Section to compensate and indemnify the Trustee and to pay or reimburse the Trustee for reasonable expenses, disbursements and advances shall constitute indebtedness of the Company to which the Securities are subordinated. Such additional indebtedness shall be secured by a lien prior to that of the Securities upon all property and funds held or collected by the Trustee as such, except funds held in trust for the benefit of the holders of particular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Reliance On Officers’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Section 7.1,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Disqualification; Conflicting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has or shall acquire any “conflicting interest” within the meaning of Section 310(b) of the Trust Indenture Act, the Trustee and the Company shall in all respects comply with the provisions of Section 310(b)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Corporate Trustee Required; Eligibility.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Securities and Exchange Commission, authorized under such laws to exercise corporate trust powers, meeting the requirements of Sections 310(a)(1), (2) and (5) of the Trust Indenture Act, having (or, in the case of a subsidiary of a bank holding company, its bank holding company parent shall have) a combined capital and surplus of at least fifty million U.S. dollars ($50,000,000), and subject to supervision or examination by federal, state, territorial, or District of Columbia authority. </w:t>
      </w:r>
    </w:p>
    <w:p>
      <w:pPr>
        <w:pStyle w:val="TextBody"/>
        <w:bidi w:val="0"/>
        <w:spacing w:before="240" w:after="0"/>
        <w:jc w:val="left"/>
        <w:rPr>
          <w:rFonts w:ascii="Times New Roman" w:hAnsi="Times New Roman"/>
          <w:sz w:val="20"/>
        </w:rPr>
      </w:pPr>
      <w:r>
        <w:rPr>
          <w:rFonts w:ascii="Times New Roman" w:hAnsi="Times New Roman"/>
          <w:sz w:val="20"/>
        </w:rPr>
        <w:t xml:space="preserve">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Resignation And Removal; Appointment Of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 </w:t>
      </w:r>
    </w:p>
    <w:p>
      <w:pPr>
        <w:pStyle w:val="TextBody"/>
        <w:bidi w:val="0"/>
        <w:spacing w:before="120" w:after="0"/>
        <w:jc w:val="left"/>
        <w:rPr>
          <w:rFonts w:ascii="Times New Roman" w:hAnsi="Times New Roman"/>
          <w:sz w:val="20"/>
        </w:rPr>
      </w:pPr>
      <w:r>
        <w:rPr>
          <w:rFonts w:ascii="Times New Roman" w:hAnsi="Times New Roman"/>
          <w:sz w:val="20"/>
        </w:rPr>
        <w:t xml:space="preserve">(b) In case at any time any one of the following shall occur: </w:t>
      </w:r>
    </w:p>
    <w:p>
      <w:pPr>
        <w:pStyle w:val="TextBody"/>
        <w:bidi w:val="0"/>
        <w:spacing w:before="120" w:after="0"/>
        <w:jc w:val="left"/>
        <w:rPr>
          <w:rFonts w:ascii="Times New Roman" w:hAnsi="Times New Roman"/>
          <w:sz w:val="20"/>
        </w:rPr>
      </w:pPr>
      <w:r>
        <w:rPr>
          <w:rFonts w:ascii="Times New Roman" w:hAnsi="Times New Roman"/>
          <w:sz w:val="20"/>
        </w:rPr>
        <w:t xml:space="preserve">(i) the Trustee shall fail to comply with the provisions of Section 7.8 after written request therefor by the Company or by any Securityholder who has been a bona fide holder of a Security or Securities for at least six months;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Trustee shall cease to be eligible in accordance with the provisions of Section 7.9 and shall fail to resign after written request therefor by the Company or by any such Securityholder; or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 </w:t>
      </w:r>
    </w:p>
    <w:p>
      <w:pPr>
        <w:pStyle w:val="TextBody"/>
        <w:bidi w:val="0"/>
        <w:spacing w:before="120" w:after="0"/>
        <w:jc w:val="left"/>
        <w:rPr>
          <w:rFonts w:ascii="Times New Roman" w:hAnsi="Times New Roman"/>
          <w:sz w:val="20"/>
        </w:rPr>
      </w:pPr>
      <w:r>
        <w:rPr>
          <w:rFonts w:ascii="Times New Roman" w:hAnsi="Times New Roman"/>
          <w:sz w:val="20"/>
        </w:rPr>
        <w:t xml:space="preserve">(c) 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(d) Any resignation or removal of the Trustee and appointment of a successor trustee with respect to the Securities of a series pursuant to any of the provisions of this Section shall become effective upon acceptance of appointment by the successor trustee as provided in Section 7.11. </w:t>
      </w:r>
    </w:p>
    <w:p>
      <w:pPr>
        <w:pStyle w:val="TextBody"/>
        <w:bidi w:val="0"/>
        <w:spacing w:before="120" w:after="0"/>
        <w:jc w:val="left"/>
        <w:rPr>
          <w:rFonts w:ascii="Times New Roman" w:hAnsi="Times New Roman"/>
          <w:sz w:val="20"/>
        </w:rPr>
      </w:pPr>
      <w:r>
        <w:rPr>
          <w:rFonts w:ascii="Times New Roman" w:hAnsi="Times New Roman"/>
          <w:sz w:val="20"/>
        </w:rPr>
        <w:t xml:space="preserve">(e) Any successor trustee appointed pursuant to this Section may be appointed with respect to the Securities of one or more series or all of such series, and at any time there shall be only one Trustee with respect to the Securities of any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Acceptance Of Appointment By Successor.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w:t>
      </w:r>
    </w:p>
    <w:p>
      <w:pPr>
        <w:pStyle w:val="TextBody"/>
        <w:bidi w:val="0"/>
        <w:spacing w:before="120" w:after="0"/>
        <w:jc w:val="left"/>
        <w:rPr>
          <w:rFonts w:ascii="Times New Roman" w:hAnsi="Times New Roman"/>
          <w:sz w:val="20"/>
        </w:rPr>
      </w:pPr>
      <w:r>
        <w:rPr>
          <w:rFonts w:ascii="Times New Roman" w:hAnsi="Times New Roman"/>
          <w:sz w:val="20"/>
        </w:rPr>
        <w:t xml:space="preserve">(b)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 </w:t>
      </w:r>
    </w:p>
    <w:p>
      <w:pPr>
        <w:pStyle w:val="TextBody"/>
        <w:bidi w:val="0"/>
        <w:spacing w:before="240" w:after="0"/>
        <w:jc w:val="left"/>
        <w:rPr>
          <w:rFonts w:ascii="Times New Roman" w:hAnsi="Times New Roman"/>
          <w:sz w:val="20"/>
        </w:rPr>
      </w:pPr>
      <w:r>
        <w:rPr>
          <w:rFonts w:ascii="Times New Roman" w:hAnsi="Times New Roman"/>
          <w:sz w:val="20"/>
        </w:rPr>
        <w:t xml:space="preserve">(c) Upon request of any such successor trustee, the Company shall execute any and all instruments for more fully and certainly vesting in and confirming to such successor trustee all such rights, powers and trusts referred to in paragraph (a) or (b) of this Section,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(d) No successor trustee shall accept its appointment unless at the time of such acceptance such successor trustee shall be qualified and eligible under this Article. </w:t>
      </w:r>
    </w:p>
    <w:p>
      <w:pPr>
        <w:pStyle w:val="TextBody"/>
        <w:bidi w:val="0"/>
        <w:spacing w:before="240" w:after="0"/>
        <w:jc w:val="left"/>
        <w:rPr>
          <w:rFonts w:ascii="Times New Roman" w:hAnsi="Times New Roman"/>
          <w:sz w:val="20"/>
        </w:rPr>
      </w:pPr>
      <w:r>
        <w:rPr>
          <w:rFonts w:ascii="Times New Roman" w:hAnsi="Times New Roman"/>
          <w:sz w:val="20"/>
        </w:rPr>
        <w:t xml:space="preserve">(e) 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10 days after acceptance of appointment by the successor trustee, the successor trustee shall cause such notice to be transmitted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Merger, Conversion, Consolidation Or Succession To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(including the administration of the trust created by this Indenture), shall be the successor of the Trustee hereunder, provided that such corporation shall be qualified under the provisions of Section 7.8 and eligible under the provisions of Section 7.9,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Preferential Collection Of Claims Against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Notice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Default or any Event of Default occurs and is continuing and if such Default or Event of Default is known to a Responsible Officer of the Trustee, the Trustee shall mail to each Securityholder in the manner and to the extent provided in Section 313(c) of the Trust Indenture Act notice of the Default or Event of Default within 45 days after it occurs, unless such Default or Event of Default has been cured; provided, however, that, except in the case of a default in the payment of the principal of (or premium, if any) or interest on any Security,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Securityholders.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Concerning The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Evidence Of Action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Proof Of Execution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7.1, proof of the execution of any instrument by a Securityholder (such proof will not require notarization) or his agent or proxy and proof of the holding by any Person of any of the Securities shall be sufficient if made in the following manner: </w:t>
      </w:r>
    </w:p>
    <w:p>
      <w:pPr>
        <w:pStyle w:val="TextBody"/>
        <w:bidi w:val="0"/>
        <w:spacing w:before="240" w:after="0"/>
        <w:jc w:val="left"/>
        <w:rPr>
          <w:rFonts w:ascii="Times New Roman" w:hAnsi="Times New Roman"/>
          <w:sz w:val="20"/>
        </w:rPr>
      </w:pPr>
      <w:r>
        <w:rPr>
          <w:rFonts w:ascii="Times New Roman" w:hAnsi="Times New Roman"/>
          <w:sz w:val="20"/>
        </w:rPr>
        <w:t xml:space="preserve">(a) The fact and date of the execution by any such Person of any instrument may be proved in any reasonable manner acceptable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(b) The ownership of Securities shall be proved by the Security Register of such Securities or by a certificate of the Security Registrar thereof.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require such additional proof of any matter referred to in this Section as it shall deem necessary.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Who May Be Deemed Owners.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2.3) interest on such Security and for all other purposes; and neither the Company nor the Trustee nor any paying agent nor any Security Registrar shall be affected by any notice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8.4 </w:t>
      </w:r>
      <w:r>
        <w:rPr>
          <w:rFonts w:ascii="Times New Roman" w:hAnsi="Times New Roman"/>
          <w:sz w:val="20"/>
          <w:u w:val="single"/>
        </w:rPr>
        <w:t>Certain Securities Owned By Company Disregarded.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8.5 </w:t>
      </w:r>
      <w:r>
        <w:rPr>
          <w:rFonts w:ascii="Times New Roman" w:hAnsi="Times New Roman"/>
          <w:sz w:val="20"/>
          <w:u w:val="single"/>
        </w:rPr>
        <w:t>Actions Binding On Future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(but not after) the evidencing to the Trustee, as provided in Section 8.1,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Supplemental Indentures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Supplemental Indentures Without The Consent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 </w:t>
      </w:r>
    </w:p>
    <w:p>
      <w:pPr>
        <w:pStyle w:val="TextBody"/>
        <w:bidi w:val="0"/>
        <w:spacing w:before="240" w:after="0"/>
        <w:jc w:val="left"/>
        <w:rPr>
          <w:rFonts w:ascii="Times New Roman" w:hAnsi="Times New Roman"/>
          <w:sz w:val="20"/>
        </w:rPr>
      </w:pPr>
      <w:r>
        <w:rPr>
          <w:rFonts w:ascii="Times New Roman" w:hAnsi="Times New Roman"/>
          <w:sz w:val="20"/>
        </w:rPr>
        <w:t xml:space="preserve">(a) to cure any ambiguity, defect, or inconsistency herein or in the Securities of any series; </w:t>
      </w:r>
    </w:p>
    <w:p>
      <w:pPr>
        <w:pStyle w:val="TextBody"/>
        <w:bidi w:val="0"/>
        <w:spacing w:before="240" w:after="0"/>
        <w:jc w:val="left"/>
        <w:rPr>
          <w:rFonts w:ascii="Times New Roman" w:hAnsi="Times New Roman"/>
          <w:sz w:val="20"/>
        </w:rPr>
      </w:pPr>
      <w:r>
        <w:rPr>
          <w:rFonts w:ascii="Times New Roman" w:hAnsi="Times New Roman"/>
          <w:sz w:val="20"/>
        </w:rPr>
        <w:t xml:space="preserve">(b) to comply with Article X, including to evidence the succession of another Person to the Company and the assumption by any such successor of the covenants of the Company herein and in the Securities contained; </w:t>
      </w:r>
    </w:p>
    <w:p>
      <w:pPr>
        <w:pStyle w:val="TextBody"/>
        <w:bidi w:val="0"/>
        <w:spacing w:before="240" w:after="0"/>
        <w:jc w:val="left"/>
        <w:rPr>
          <w:rFonts w:ascii="Times New Roman" w:hAnsi="Times New Roman"/>
          <w:sz w:val="20"/>
        </w:rPr>
      </w:pPr>
      <w:r>
        <w:rPr>
          <w:rFonts w:ascii="Times New Roman" w:hAnsi="Times New Roman"/>
          <w:sz w:val="20"/>
        </w:rPr>
        <w:t xml:space="preserve">(c) to provide for uncertificated Securities in addition to or in place of certificated Securities; </w:t>
      </w:r>
    </w:p>
    <w:p>
      <w:pPr>
        <w:pStyle w:val="TextBody"/>
        <w:bidi w:val="0"/>
        <w:spacing w:before="240" w:after="0"/>
        <w:jc w:val="left"/>
        <w:rPr>
          <w:rFonts w:ascii="Times New Roman" w:hAnsi="Times New Roman"/>
          <w:sz w:val="20"/>
        </w:rPr>
      </w:pPr>
      <w:r>
        <w:rPr>
          <w:rFonts w:ascii="Times New Roman" w:hAnsi="Times New Roman"/>
          <w:sz w:val="20"/>
        </w:rPr>
        <w:t xml:space="preserve">(d) 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 </w:t>
      </w:r>
    </w:p>
    <w:p>
      <w:pPr>
        <w:pStyle w:val="TextBody"/>
        <w:bidi w:val="0"/>
        <w:spacing w:before="240" w:after="0"/>
        <w:jc w:val="left"/>
        <w:rPr>
          <w:rFonts w:ascii="Times New Roman" w:hAnsi="Times New Roman"/>
          <w:sz w:val="20"/>
        </w:rPr>
      </w:pPr>
      <w:r>
        <w:rPr>
          <w:rFonts w:ascii="Times New Roman" w:hAnsi="Times New Roman"/>
          <w:sz w:val="20"/>
        </w:rPr>
        <w:t xml:space="preserve">(e) to add any additional Events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to add to, change or eliminate any of the provisions of this Indenture in respect of one or more series of Securities; provided, however, that any such addition, change or elimination not otherwise permitted under this Section 9.1 shall (i) neither (A) apply to any Security of any series created prior to the execution of such supplemental indenture and entitled to the benefit of such provision nor (B) modify the rights of the Securityholder of any such Security with respect to such provision or (ii) become effective only when there is no such Security outstanding; </w:t>
      </w:r>
    </w:p>
    <w:p>
      <w:pPr>
        <w:pStyle w:val="TextBody"/>
        <w:bidi w:val="0"/>
        <w:spacing w:before="240" w:after="0"/>
        <w:jc w:val="left"/>
        <w:rPr>
          <w:rFonts w:ascii="Times New Roman" w:hAnsi="Times New Roman"/>
          <w:sz w:val="20"/>
        </w:rPr>
      </w:pPr>
      <w:r>
        <w:rPr>
          <w:rFonts w:ascii="Times New Roman" w:hAnsi="Times New Roman"/>
          <w:sz w:val="20"/>
        </w:rPr>
        <w:t xml:space="preserve">(g) to provide for the issuance of and establish the form and terms and conditions of the Securities of any series as provided in Section 2.1, to establish the form of any certifications required to be furnished pursuant to the terms of this Indenture or any series of Securities, or to add to the rights of the holders of any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(h) to evidence and provide for the acceptance of appointment hereunder by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(i) to comply with any requirements of the Securities and Exchange Commission or any successor in connection with the qualification of this Indenture under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(j) to add guarantees with respect to any series of Securities or secure any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(k) to comply with the applicable rules or procedures of the Depositary; or </w:t>
      </w:r>
    </w:p>
    <w:p>
      <w:pPr>
        <w:pStyle w:val="TextBody"/>
        <w:bidi w:val="0"/>
        <w:spacing w:before="240" w:after="0"/>
        <w:jc w:val="left"/>
        <w:rPr>
          <w:rFonts w:ascii="Times New Roman" w:hAnsi="Times New Roman"/>
          <w:sz w:val="20"/>
        </w:rPr>
      </w:pPr>
      <w:r>
        <w:rPr>
          <w:rFonts w:ascii="Times New Roman" w:hAnsi="Times New Roman"/>
          <w:sz w:val="20"/>
        </w:rPr>
        <w:t xml:space="preserve">(l) to make any other provisions with respect to matters or questions arising under this Indenture, provided that such action shall not adversely affect the interests of the Securityholders of Securities of any series or any related coupons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supplemental indenture authorized by the provisions of this Section may be executed by the Company and the Trustee without the consent of the holders of any of the Securities at the time Outstanding, notwithstanding any of the provisions of Section 9.2.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Supplemental Indentures With Consent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the consent (evidenced as provided in Section 8.1)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Securityholders of any series affected thereby under this Section to approve the particular form of any proposed supplemental indenture, but it shall be sufficient if such consent shall approve the substance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Effect Of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execution of any supplemental indenture pursuant to the provisions of this Article or of Section 10.1,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Securities Affected By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series affected by a supplemental indenture, authenticated and delivered after the execution of such supplemental indenture pursuant to the provisions of this Article or of Section 10.1,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Section 9.5 </w:t>
      </w:r>
      <w:r>
        <w:rPr>
          <w:rFonts w:ascii="Times New Roman" w:hAnsi="Times New Roman"/>
          <w:sz w:val="20"/>
          <w:u w:val="single"/>
        </w:rPr>
        <w:t>Execution Of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7.1, may receive an Officers’ Certificate or an Opinion of Counsel as conclusive evidence that any supplemental indenture executed pursuant to this Article is authorized or permitted by, and conforms to, the terms of this Article and that it is proper for the Trustee under the provisions of this Article to join in the execution thereof; provided, however, that such Officers’ Certificate or Opinion of Counsel need not be provided in connection with the execution of a supplemental indenture that establishes the terms of a series of Securities pursuant to Section 2.1 hereof.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Successor Entity </w:t>
      </w:r>
    </w:p>
    <w:p>
      <w:pPr>
        <w:pStyle w:val="TextBody"/>
        <w:bidi w:val="0"/>
        <w:spacing w:before="120" w:after="0"/>
        <w:jc w:val="left"/>
        <w:rPr>
          <w:rFonts w:ascii="Times New Roman" w:hAnsi="Times New Roman"/>
          <w:sz w:val="20"/>
        </w:rPr>
      </w:pPr>
      <w:r>
        <w:rPr>
          <w:rFonts w:ascii="Times New Roman" w:hAnsi="Times New Roman"/>
          <w:sz w:val="20"/>
        </w:rPr>
        <w:t>Section 10.1</w:t>
      </w:r>
      <w:r>
        <w:rPr>
          <w:rFonts w:ascii="Times New Roman" w:hAnsi="Times New Roman"/>
          <w:sz w:val="20"/>
          <w:u w:val="single"/>
        </w:rPr>
        <w:t xml:space="preserve"> Company May Consolidate,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pursuant to Section 2.1 pursuant to a Board Resolution, and set forth in an Officers’ Certificate, or established in one or more indentures supplemental to this Indenture, 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(a) the due and punctual payment of the principal of (premium, if any) and interest on all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Successor Entity Substituted.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(b) In case of any such consolidation, merger, sale, conveyance, transfer or other disposition, such changes in phraseology and form (but not in substance) may be made in the Securities thereafter to be issued as may be appropriate. </w:t>
      </w:r>
    </w:p>
    <w:p>
      <w:pPr>
        <w:pStyle w:val="TextBody"/>
        <w:bidi w:val="0"/>
        <w:spacing w:before="240" w:after="0"/>
        <w:jc w:val="left"/>
        <w:rPr>
          <w:rFonts w:ascii="Times New Roman" w:hAnsi="Times New Roman"/>
          <w:sz w:val="20"/>
        </w:rPr>
      </w:pPr>
      <w:r>
        <w:rPr>
          <w:rFonts w:ascii="Times New Roman" w:hAnsi="Times New Roman"/>
          <w:sz w:val="20"/>
        </w:rPr>
        <w:t xml:space="preserve">(c) 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Evidence Of Consolidation, Etc. To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subject to the provisions of Section 7.1, may receive an Officers’ Certificate or an Opinion of Counsel as conclusive evidence that any such consolidation, merger, sale, conveyance, transfer or other disposition, and any such assumption, comply with the provisions of this Article.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Satisfaction And Discharge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Satisfaction And Discharge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shall upon Company Request cease to be of further effect with respect to any series of Securities (except as to any surviving rights of registration of transfer or exchange of Securities of such series herein expressly provided for or in the form of Security for such series and any right to receive additional amounts), and the Trustee, at the expense of the Company, shall execute proper instruments acknowledging satisfaction and discharge of this Indenture as to such series, when </w:t>
      </w:r>
    </w:p>
    <w:p>
      <w:pPr>
        <w:pStyle w:val="TextBody"/>
        <w:bidi w:val="0"/>
        <w:spacing w:before="240" w:after="0"/>
        <w:jc w:val="left"/>
        <w:rPr>
          <w:rFonts w:ascii="Times New Roman" w:hAnsi="Times New Roman"/>
          <w:sz w:val="20"/>
        </w:rPr>
      </w:pPr>
      <w:r>
        <w:rPr>
          <w:rFonts w:ascii="Times New Roman" w:hAnsi="Times New Roman"/>
          <w:sz w:val="20"/>
        </w:rPr>
        <w:t xml:space="preserve">(a) either </w:t>
      </w:r>
    </w:p>
    <w:p>
      <w:pPr>
        <w:pStyle w:val="TextBody"/>
        <w:bidi w:val="0"/>
        <w:spacing w:before="120" w:after="0"/>
        <w:jc w:val="left"/>
        <w:rPr>
          <w:rFonts w:ascii="Times New Roman" w:hAnsi="Times New Roman"/>
          <w:sz w:val="20"/>
        </w:rPr>
      </w:pPr>
      <w:r>
        <w:rPr>
          <w:rFonts w:ascii="Times New Roman" w:hAnsi="Times New Roman"/>
          <w:sz w:val="20"/>
        </w:rPr>
        <w:t xml:space="preserve">(i) all Securities of such series theretofore authenticated and delivered (other than (A) Securities which have been destroyed, lost or stolen and which have been replaced or paid as provided in Section 2.7 and (B) Securities for whose payment money has theretofore been deposited in trust or segregated and held in trust by the Company and thereafter repaid to the Company or discharged from such trust, as provided in Sections 11.5, 11.6 and 11.7) have been delivered to the Trustee for cancellation;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all such Securities of such series not theretofore delivered to the Trustee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(A) have become due and payable, or </w:t>
      </w:r>
    </w:p>
    <w:p>
      <w:pPr>
        <w:pStyle w:val="TextBody"/>
        <w:bidi w:val="0"/>
        <w:spacing w:before="120" w:after="0"/>
        <w:jc w:val="left"/>
        <w:rPr>
          <w:rFonts w:ascii="Times New Roman" w:hAnsi="Times New Roman"/>
          <w:sz w:val="20"/>
        </w:rPr>
      </w:pPr>
      <w:r>
        <w:rPr>
          <w:rFonts w:ascii="Times New Roman" w:hAnsi="Times New Roman"/>
          <w:sz w:val="20"/>
        </w:rPr>
        <w:t xml:space="preserve">(B) will become due and payable at their Stated Maturity within one year of the date of deposit, or </w:t>
      </w:r>
    </w:p>
    <w:p>
      <w:pPr>
        <w:pStyle w:val="TextBody"/>
        <w:bidi w:val="0"/>
        <w:spacing w:before="120" w:after="0"/>
        <w:jc w:val="left"/>
        <w:rPr>
          <w:rFonts w:ascii="Times New Roman" w:hAnsi="Times New Roman"/>
          <w:sz w:val="20"/>
        </w:rPr>
      </w:pPr>
      <w:r>
        <w:rPr>
          <w:rFonts w:ascii="Times New Roman" w:hAnsi="Times New Roman"/>
          <w:sz w:val="20"/>
        </w:rPr>
        <w:t xml:space="preserve">(C) are to be called for redemption within one year under arrangements satisfactory to the Trustee for the giving of notice of redemption by the Trustee in the name, and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and the Company, in the case of (A), (B) or (C) immediately above, has deposited or caused to be deposited with the Trustee as trust funds in trust for the purpose an amount sufficient to pay and discharge the entire indebtedness on such Securities not theretofore delivered to the Trustee for cancellation, for principal (and premium, if any) and interest, if any, to the date of such deposit (in the case of Securities which have become due and payable), or to the Stated Maturity or the Redemption Date,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paid or caused to be paid all other sums payable hereunder by the Company with respect to such series; and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delivered to the Trustee an Officers’ Certificate and an Opinion of Counsel, each stating that, with respect to such series, all conditions precedent herein provided for relating to the satisfaction and discharge of this Indenture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satisfaction and discharge of this Indenture with respect to such series, the obligations of the Company to the Trustee with respect to such series under this Section 11.1 and Sections 7.6 and 7.10, the obligations of the Company to any Authenticating Agent under Section 2.10, and, if money shall have been deposited with the Trustee pursuant to subclause (ii) of clause (a) of this Section, the obligations of the Trustee under Section 11.2, 11.5 and Section 11.7, shall survive.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Application Of Trust Money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11.7, all money deposited with the Trustee pursuant to Section 11.1, all money and U.S. Government Obligations deposited with the Trustee (or a successor trustee satisfying the requirements of Section 7.9) pursuant to Section 11.3 and all money received by the Trustee in respect of U.S. Government Obligations deposited with the Trustee pursuant to Section 11.3 shall be held in trust and shall be applied by it, in accordance with the provisions of the series of Securities and this Indenture, to the payment, either directly or through any paying agent as the Trustee may determine, to the Persons entitled thereto, of all sums due and to become due thereon in respect of the principal of (and premium, if any) and interest, if any, on the Securities for which payment of such money has been deposited with the Trustee or to make mandatory sinking fund payments or analogous payments as contemplated by Section 11.3.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Discharge And Defeasance Of Securities Of Any Series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this Section 11.3 is specified to be applicable to the Securities of any series, then, notwithstanding the provisions of Section 11.1, the Company shall be deemed to have paid and discharged the entire indebtedness on all the Outstanding Securities of any such series on the 91st day after the date of the deposit referred to in subparagraph (d) hereof, and the provisions of this Indenture, as it relates to such Outstanding Securities, shall no longer be in effect (and the Trustee, at the expense of the Company, shall, upon Company Request execute proper instruments acknowledging the same), except as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rights of holders of Securities of such series to receive, from the trust funds described in subparagraph (d) hereof, (i) payment of the principal of (and premium, if any) and each installment of principal of (and premium, if any) or interest, if any, on the Outstanding Securities of such series on the Stated Maturity of such principal or installment of principal or interest and (ii) any mandatory sinking fund payments or analogous payments applicable to the Securities of such series on the day on which such payments are due and payable in accordance with the terms of this Indenture and such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(b) the rights, powers, trusts, duties and immunities of the Trustee hereunder with respect to such series, including those set forth in Section 7.6, 7.10, 11.2, 11.5 and 11.7; and </w:t>
      </w:r>
    </w:p>
    <w:p>
      <w:pPr>
        <w:pStyle w:val="TextBody"/>
        <w:bidi w:val="0"/>
        <w:spacing w:before="240" w:after="0"/>
        <w:jc w:val="left"/>
        <w:rPr>
          <w:rFonts w:ascii="Times New Roman" w:hAnsi="Times New Roman"/>
          <w:sz w:val="20"/>
        </w:rPr>
      </w:pPr>
      <w:r>
        <w:rPr>
          <w:rFonts w:ascii="Times New Roman" w:hAnsi="Times New Roman"/>
          <w:sz w:val="20"/>
        </w:rPr>
        <w:t xml:space="preserve">(c) either (i) if this Section 11.3(c)(i) is specified, as contemplated by Section 2.1, to be applicable to the Securities of any series, the Company’s obligations with respect to the Securities of such series under Sections 2.5, 2.6, 2.7, 4.2, 11.2, 11.5, 11.6 and 11.7; or, alternatively, (ii) if this Section 11.3(c)(ii) is specified, as contemplated by Section 2.1, to be applicable to the Securities of any series, the Company’s obligations with respect to such Securities under Sections 2.5, 2.6, 2.7, 4.1, 4.2, 11.2 and 11.7; provided that, the following conditions shall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have irrevocably deposited or caused to be deposited (in accordance with Section 11.2) with the Trustee (or another trustee satisfying the requirements of Section 7.9) as trust funds in trust specifically pledged as security for, and dedicated solely to, the benefit of the Securityholders of the Securities of that series, with reference to this Section 11.3 (i) money in an amount, or (ii) U.S. Government Obligations which through the payment of interest and principal in respect thereof in accordance with their terms will provide not later than one Business Day before the due date of any payment referred to in clause (A) or (B) of this subparagraph (d) money in an amount, or (iii) a combination thereof, sufficient, in the opinion of a nationally recognized firm of independent certified public accountants expressed in a written certification thereof delivered to the Trustee, to pay and discharge (A) the principal of (and premium, if any) and each installment of principal of (and premium, if any) and interest, if any, on the Outstanding Securities of such series on the Stated Maturity of such principal or installment of principal or interest or on the applicable Redemption Date and (B) any mandatory sinking fund payments or analogous payments applicable to the Securities of such series on the day on which such payments are due and payable in accordance with the terms of this Indenture and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(e) such deposit shall not cause the Trustee with respect to the Securities of such series to have a conflicting interest as defined in Section 7.8 or for purposes of the Trust Indenture Act with respect to the Securities of any series; </w:t>
      </w:r>
    </w:p>
    <w:p>
      <w:pPr>
        <w:pStyle w:val="TextBody"/>
        <w:bidi w:val="0"/>
        <w:spacing w:before="240" w:after="0"/>
        <w:jc w:val="left"/>
        <w:rPr>
          <w:rFonts w:ascii="Times New Roman" w:hAnsi="Times New Roman"/>
          <w:sz w:val="20"/>
        </w:rPr>
      </w:pPr>
      <w:r>
        <w:rPr>
          <w:rFonts w:ascii="Times New Roman" w:hAnsi="Times New Roman"/>
          <w:sz w:val="20"/>
        </w:rPr>
        <w:t xml:space="preserve">(f) such deposit will not result in a breach or violation of, or constitute a default under, any applicable laws, this Indenture or any other agreement or instrument to which the Company is a party or by which it is bound; </w:t>
      </w:r>
    </w:p>
    <w:p>
      <w:pPr>
        <w:pStyle w:val="TextBody"/>
        <w:bidi w:val="0"/>
        <w:spacing w:before="240" w:after="0"/>
        <w:jc w:val="left"/>
        <w:rPr>
          <w:rFonts w:ascii="Times New Roman" w:hAnsi="Times New Roman"/>
          <w:sz w:val="20"/>
        </w:rPr>
      </w:pPr>
      <w:r>
        <w:rPr>
          <w:rFonts w:ascii="Times New Roman" w:hAnsi="Times New Roman"/>
          <w:sz w:val="20"/>
        </w:rPr>
        <w:t xml:space="preserve">(g) if this Section 11.3(g) is specified, as contemplated by Section 2.1, to be applicable to the Securities of any series, such provision would not cause any Outstanding Securities of such series then listed on the New York Stock Exchange or other nationally recognized securities exchange to be de-listed as a result thereof; </w:t>
      </w:r>
    </w:p>
    <w:p>
      <w:pPr>
        <w:pStyle w:val="TextBody"/>
        <w:bidi w:val="0"/>
        <w:spacing w:before="240" w:after="0"/>
        <w:jc w:val="left"/>
        <w:rPr>
          <w:rFonts w:ascii="Times New Roman" w:hAnsi="Times New Roman"/>
          <w:sz w:val="20"/>
        </w:rPr>
      </w:pPr>
      <w:r>
        <w:rPr>
          <w:rFonts w:ascii="Times New Roman" w:hAnsi="Times New Roman"/>
          <w:sz w:val="20"/>
        </w:rPr>
        <w:t xml:space="preserve">(h) no Event of Default or event which with the giving of notice or lapse of time or both would become an Event of Default with respect to the Securities of that series shall have occurred and be continuing on the date of such deposit or at any time during the period ending on the 91st day after such date; </w:t>
      </w:r>
    </w:p>
    <w:p>
      <w:pPr>
        <w:pStyle w:val="TextBody"/>
        <w:bidi w:val="0"/>
        <w:spacing w:before="240" w:after="0"/>
        <w:jc w:val="left"/>
        <w:rPr>
          <w:rFonts w:ascii="Times New Roman" w:hAnsi="Times New Roman"/>
          <w:sz w:val="20"/>
        </w:rPr>
      </w:pPr>
      <w:r>
        <w:rPr>
          <w:rFonts w:ascii="Times New Roman" w:hAnsi="Times New Roman"/>
          <w:sz w:val="20"/>
        </w:rPr>
        <w:t xml:space="preserve">(i) the Company has delivered to the Trustee an Opinion of Counsel to the effect that, based upon applicable United States Federal income tax law or a ruling published by the Internal Revenue Service (which opinion, for the purposes contemplated by Section 11.3(c)(i), must be based on a change in applicable United States Federal income tax law after the date of this Indenture or a ruling published by the Internal Revenue Service after the date of this Indenture), the holders of the Securities of such series will not recognize income, gain or loss for United States Federal income tax purposes as a result of such deposit, defeasance and discharge and will be subject to United States Federal income tax on the same amount and in the same manner and at the same times, as would have been the case if such deposit, defeasance and discharge had not occurred;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the Company has delivered to the Trustee an Officers’ Certificate and an Opinion of Counsel, each stating that all conditions precedent relating to the defeasance contemplated by this Section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11.4 </w:t>
      </w:r>
      <w:r>
        <w:rPr>
          <w:rFonts w:ascii="Times New Roman" w:hAnsi="Times New Roman"/>
          <w:sz w:val="20"/>
          <w:u w:val="single"/>
        </w:rPr>
        <w:t>Reinstatement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is unable to apply any money in accordance with Section 11.3 by reason of any order or judgment of any court or governmental authority enjoining, restraining or otherwise prohibiting such application, then the Company’s obligations under this Indenture and the Securities of such series shall be revived and reinstated as though no deposit had occurred pursuant to Section 11.3 until such time as the Trustee is permitted to apply all such money in accordance with Section 11.3; provided, however, that if the Company makes any payment of principal of (and premium, if any) or interest on any Security following the reinstatement of its obligations, the Company shall be subrogated to the rights of the holders of the Securities of such series to receive such payment from the money held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11.5 </w:t>
      </w:r>
      <w:r>
        <w:rPr>
          <w:rFonts w:ascii="Times New Roman" w:hAnsi="Times New Roman"/>
          <w:sz w:val="20"/>
          <w:u w:val="single"/>
        </w:rPr>
        <w:t>Deposited Moneys To Be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moneys or Governmental Obligations deposited with the Trustee pursuant to Sections 11.1 or 11.3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11.6 </w:t>
      </w:r>
      <w:r>
        <w:rPr>
          <w:rFonts w:ascii="Times New Roman" w:hAnsi="Times New Roman"/>
          <w:sz w:val="20"/>
          <w:u w:val="single"/>
        </w:rPr>
        <w:t>Payment Of Moneys Held By Paying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11.7 </w:t>
      </w:r>
      <w:r>
        <w:rPr>
          <w:rFonts w:ascii="Times New Roman" w:hAnsi="Times New Roman"/>
          <w:sz w:val="20"/>
          <w:u w:val="single"/>
        </w:rPr>
        <w:t>Repayment To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[_____] of each year or upon the Company’s request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0" w:after="0"/>
        <w:jc w:val="center"/>
        <w:rPr>
          <w:rFonts w:ascii="Times New Roman" w:hAnsi="Times New Roman"/>
          <w:b/>
          <w:sz w:val="20"/>
        </w:rPr>
      </w:pPr>
      <w:r>
        <w:rPr>
          <w:rFonts w:ascii="Times New Roman" w:hAnsi="Times New Roman"/>
          <w:b/>
          <w:sz w:val="20"/>
        </w:rPr>
        <w:t xml:space="preserve">Immunity Of Incorporators,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Section 12.1 </w:t>
      </w:r>
      <w:r>
        <w:rPr>
          <w:rFonts w:ascii="Times New Roman" w:hAnsi="Times New Roman"/>
          <w:sz w:val="20"/>
          <w:u w:val="single"/>
        </w:rPr>
        <w:t>No Recourse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Provisions </w:t>
      </w:r>
    </w:p>
    <w:p>
      <w:pPr>
        <w:pStyle w:val="TextBody"/>
        <w:bidi w:val="0"/>
        <w:spacing w:before="120" w:after="0"/>
        <w:jc w:val="left"/>
        <w:rPr>
          <w:rFonts w:ascii="Times New Roman" w:hAnsi="Times New Roman"/>
          <w:sz w:val="20"/>
        </w:rPr>
      </w:pPr>
      <w:r>
        <w:rPr>
          <w:rFonts w:ascii="Times New Roman" w:hAnsi="Times New Roman"/>
          <w:sz w:val="20"/>
        </w:rPr>
        <w:t xml:space="preserve">Section 13.1 </w:t>
      </w:r>
      <w:r>
        <w:rPr>
          <w:rFonts w:ascii="Times New Roman" w:hAnsi="Times New Roman"/>
          <w:sz w:val="20"/>
          <w:u w:val="single"/>
        </w:rPr>
        <w:t>Effect On 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the covenants, stipulations, promises and agreements in this Indenture made by or on behalf of the Company shall bind its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sz w:val="20"/>
        </w:rPr>
        <w:t xml:space="preserve">Section 13.2 </w:t>
      </w:r>
      <w:r>
        <w:rPr>
          <w:rFonts w:ascii="Times New Roman" w:hAnsi="Times New Roman"/>
          <w:sz w:val="20"/>
          <w:u w:val="single"/>
        </w:rPr>
        <w:t>Actions By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13.3 </w:t>
      </w:r>
      <w:r>
        <w:rPr>
          <w:rFonts w:ascii="Times New Roman" w:hAnsi="Times New Roman"/>
          <w:sz w:val="20"/>
          <w:u w:val="single"/>
        </w:rPr>
        <w:t>Surrender Of Company Powers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13.4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(until another address is filed in writing by the Company with the Trustee), as follows: The Macerich Company, 401 Wilshire Boulevard,Suite 700, Santa Monica, California 90401, Attention: Chief Legal Officer.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13.5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and each Security shall be deemed to be a contract made under the internal laws of the State of New York, and for all purposes shall be construed in accordance with the laws of said State, except to the extent that the Trust Indenture Act is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13.6 </w:t>
      </w:r>
      <w:r>
        <w:rPr>
          <w:rFonts w:ascii="Times New Roman" w:hAnsi="Times New Roman"/>
          <w:sz w:val="20"/>
          <w:u w:val="single"/>
        </w:rPr>
        <w:t>Treatment Of Securities As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 is intended that the Securities will be treated as indebtedness and not as equity for federal income tax purposes. The provisions of this Indenture shall be interpreted to further this intention.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13.7 </w:t>
      </w:r>
      <w:r>
        <w:rPr>
          <w:rFonts w:ascii="Times New Roman" w:hAnsi="Times New Roman"/>
          <w:sz w:val="20"/>
          <w:u w:val="single"/>
        </w:rPr>
        <w:t>Compliance Certificates And Opinions.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 </w:t>
      </w:r>
    </w:p>
    <w:p>
      <w:pPr>
        <w:pStyle w:val="TextBody"/>
        <w:bidi w:val="0"/>
        <w:spacing w:before="240" w:after="0"/>
        <w:jc w:val="left"/>
        <w:rPr>
          <w:rFonts w:ascii="Times New Roman" w:hAnsi="Times New Roman"/>
          <w:sz w:val="20"/>
        </w:rPr>
      </w:pPr>
      <w:r>
        <w:rPr>
          <w:rFonts w:ascii="Times New Roman" w:hAnsi="Times New Roman"/>
          <w:sz w:val="20"/>
        </w:rPr>
        <w:t xml:space="preserve">(b) Each certificate or opinion provided for in this Indenture and delivered to the Trustee with respect to compliance with a condition or covenant in this Indenture shall, in accordance with the provisions of Section 314(e) of the Trust Indenture Act,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necessary to enable him to express an informed opinion as to whether or not such covenant or condition has been complied with; and (iv) a statement as to whether or not, in the opinion of such Person,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13.8 </w:t>
      </w:r>
      <w:r>
        <w:rPr>
          <w:rFonts w:ascii="Times New Roman" w:hAnsi="Times New Roman"/>
          <w:sz w:val="20"/>
          <w:u w:val="single"/>
        </w:rPr>
        <w:t>Payments On Business Days.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pursuant to Section 2.1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 </w:t>
      </w:r>
    </w:p>
    <w:p>
      <w:pPr>
        <w:pStyle w:val="TextBody"/>
        <w:bidi w:val="0"/>
        <w:spacing w:before="240" w:after="0"/>
        <w:jc w:val="left"/>
        <w:rPr>
          <w:rFonts w:ascii="Times New Roman" w:hAnsi="Times New Roman"/>
          <w:sz w:val="20"/>
        </w:rPr>
      </w:pPr>
      <w:r>
        <w:rPr>
          <w:rFonts w:ascii="Times New Roman" w:hAnsi="Times New Roman"/>
          <w:sz w:val="20"/>
        </w:rPr>
        <w:t xml:space="preserve">Section 13.9 </w:t>
      </w:r>
      <w:r>
        <w:rPr>
          <w:rFonts w:ascii="Times New Roman" w:hAnsi="Times New Roman"/>
          <w:sz w:val="20"/>
          <w:u w:val="single"/>
        </w:rPr>
        <w:t>Conflict With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and to the extent that any provision of this Indenture limits, qualifies or conflicts with the duties imposed by Sections 310 to 317, inclusive, of the Trust Indenture Act, such imposed duties shall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13.10 </w:t>
      </w:r>
      <w:r>
        <w:rPr>
          <w:rFonts w:ascii="Times New Roman" w:hAnsi="Times New Roman"/>
          <w:sz w:val="20"/>
          <w:u w:val="single"/>
        </w:rPr>
        <w:t>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be executed in any number of counterparts, each of which shall be an original, but such counterparts shall together constitute but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13.11 </w:t>
      </w:r>
      <w:r>
        <w:rPr>
          <w:rFonts w:ascii="Times New Roman" w:hAnsi="Times New Roman"/>
          <w:sz w:val="20"/>
          <w:u w:val="single"/>
        </w:rPr>
        <w:t>Separability.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13.12 </w:t>
      </w:r>
      <w:r>
        <w:rPr>
          <w:rFonts w:ascii="Times New Roman" w:hAnsi="Times New Roman"/>
          <w:sz w:val="20"/>
          <w:u w:val="single"/>
        </w:rPr>
        <w:t>Table Of Contents, Headings.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Table of Contents and headings of the Articles and Sections of this Indenture have been inserted for convenience of reference only, are not to be considered a part hereof, and shall in no way modify or restrict any of the terms or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13.13 </w:t>
      </w:r>
      <w:r>
        <w:rPr>
          <w:rFonts w:ascii="Times New Roman" w:hAnsi="Times New Roman"/>
          <w:sz w:val="20"/>
          <w:u w:val="single"/>
        </w:rPr>
        <w:t>Securities In A Foreign Currency.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a Board Resolution, a supplemental indenture hereto or an Officers’ Certificate delivered pursuant to Section 2.1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2.1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U.S. dollars in connection with any action taken by holders of Securities pursuant to the terms of this Indenture. All decisions and determinations provided for in this paragraph shall, in the absence of manifest error, to the extent permitted by law, be conclusive for all purposes and irrevocably binding upon the Trustee and all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13.14 </w:t>
      </w:r>
      <w:r>
        <w:rPr>
          <w:rFonts w:ascii="Times New Roman" w:hAnsi="Times New Roman"/>
          <w:sz w:val="20"/>
          <w:u w:val="single"/>
        </w:rPr>
        <w:t>U.S.A. Patriot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Trustee. The parties to this Indenture agree that they will provide the Trustee with such information as it may request in order for the Trustee to satisfy the requirements of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13.15 </w:t>
      </w:r>
      <w:r>
        <w:rPr>
          <w:rFonts w:ascii="Times New Roman" w:hAnsi="Times New Roman"/>
          <w:sz w:val="20"/>
          <w:u w:val="single"/>
        </w:rPr>
        <w:t>Compliance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Securities of a series are outstanding, the Company shall deliver to the Trustee, within 120 days after the end of each fiscal year of the Company, an Officers’ Certificate (which need not contain the statements provided for in Section 13.7) from its principal executive officer, principal financial officer or principal accounting officer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his or her knowledge the Company is not in default in the performance or observance of any of the terms, provisions and conditions hereof (or, if a Default or Event of Default shall have occurred, describing all such Defaults or Events of Default of which the Officer has knowledge). Such Officers’ Certificate need not include a reference to any non-compliance that has been fully cured prior to the date as of which such certificate speaks.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XIV </w:t>
      </w:r>
    </w:p>
    <w:p>
      <w:pPr>
        <w:pStyle w:val="TextBody"/>
        <w:bidi w:val="0"/>
        <w:spacing w:before="0" w:after="0"/>
        <w:jc w:val="center"/>
        <w:rPr>
          <w:rFonts w:ascii="Times New Roman" w:hAnsi="Times New Roman"/>
          <w:b/>
          <w:sz w:val="20"/>
        </w:rPr>
      </w:pPr>
      <w:r>
        <w:rPr>
          <w:rFonts w:ascii="Times New Roman" w:hAnsi="Times New Roman"/>
          <w:b/>
          <w:sz w:val="20"/>
        </w:rPr>
        <w:t xml:space="preserve">Subordination Of Securities </w:t>
      </w:r>
    </w:p>
    <w:p>
      <w:pPr>
        <w:pStyle w:val="TextBody"/>
        <w:bidi w:val="0"/>
        <w:spacing w:before="120" w:after="0"/>
        <w:jc w:val="left"/>
        <w:rPr>
          <w:rFonts w:ascii="Times New Roman" w:hAnsi="Times New Roman"/>
          <w:sz w:val="20"/>
        </w:rPr>
      </w:pPr>
      <w:r>
        <w:rPr>
          <w:rFonts w:ascii="Times New Roman" w:hAnsi="Times New Roman"/>
          <w:sz w:val="20"/>
        </w:rPr>
        <w:t xml:space="preserve">Section 14.1 </w:t>
      </w:r>
      <w:r>
        <w:rPr>
          <w:rFonts w:ascii="Times New Roman" w:hAnsi="Times New Roman"/>
          <w:sz w:val="20"/>
          <w:u w:val="single"/>
        </w:rPr>
        <w:t>Subordination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payment by the Company of the principal of, premium, if any, and interest on any series of Securities issued hereunder shall be subordinated to the extent established in or pursuant to a Board Resolution, and set forth in an Officers’ Certificate, or established in one or more indentures supplemental hereto relating to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Indenture to be duly executed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MACERICH COMPANY</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pPr>
            <w:r>
              <w:rPr/>
              <w:t> </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as Trustee</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pPr>
            <w:r>
              <w:rPr/>
              <w:t> </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p>
    <w:p>
      <w:pPr>
        <w:pStyle w:val="TextBody"/>
        <w:bidi w:val="0"/>
        <w:spacing w:before="0" w:after="0"/>
        <w:jc w:val="right"/>
        <w:rPr>
          <w:rFonts w:ascii="Times New Roman" w:hAnsi="Times New Roman"/>
          <w:b/>
          <w:sz w:val="20"/>
        </w:rPr>
      </w:pPr>
      <w:bookmarkStart w:id="28" w:name="d158325dex51.htm"/>
      <w:bookmarkStart w:id="29" w:name="ksd158325dex51"/>
      <w:bookmarkEnd w:id="28"/>
      <w:bookmarkEnd w:id="29"/>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86"/>
        <w:gridCol w:w="120"/>
        <w:gridCol w:w="434"/>
        <w:gridCol w:w="120"/>
        <w:gridCol w:w="5045"/>
      </w:tblGrid>
      <w:tr>
        <w:trPr/>
        <w:tc>
          <w:tcPr>
            <w:tcW w:w="44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45" w:type="dxa"/>
            <w:tcBorders/>
            <w:vAlign w:val="center"/>
          </w:tcPr>
          <w:p>
            <w:pPr>
              <w:pStyle w:val="TableContents"/>
              <w:bidi w:val="0"/>
              <w:spacing w:before="0" w:after="283"/>
              <w:jc w:val="left"/>
              <w:rPr>
                <w:sz w:val="4"/>
                <w:szCs w:val="4"/>
              </w:rPr>
            </w:pPr>
            <w:r>
              <w:rPr>
                <w:sz w:val="4"/>
                <w:szCs w:val="4"/>
              </w:rPr>
            </w:r>
          </w:p>
        </w:tc>
      </w:tr>
      <w:tr>
        <w:trPr/>
        <w:tc>
          <w:tcPr>
            <w:tcW w:w="4486" w:type="dxa"/>
            <w:tcBorders/>
          </w:tcPr>
          <w:p>
            <w:pPr>
              <w:pStyle w:val="TableContents"/>
              <w:bidi w:val="0"/>
              <w:spacing w:before="0" w:after="283"/>
              <w:jc w:val="left"/>
              <w:rPr/>
            </w:pPr>
            <w:r>
              <w:rPr/>
              <w:drawing>
                <wp:inline distT="0" distB="0" distL="0" distR="0">
                  <wp:extent cx="1866900" cy="457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9"/>
                          <a:stretch>
                            <a:fillRect/>
                          </a:stretch>
                        </pic:blipFill>
                        <pic:spPr bwMode="auto">
                          <a:xfrm>
                            <a:off x="0" y="0"/>
                            <a:ext cx="1866900" cy="4572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3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45" w:type="dxa"/>
            <w:tcBorders/>
          </w:tcPr>
          <w:p>
            <w:pPr>
              <w:pStyle w:val="TableContents"/>
              <w:bidi w:val="0"/>
              <w:spacing w:before="0" w:after="283"/>
              <w:jc w:val="left"/>
              <w:rPr/>
            </w:pPr>
            <w:r>
              <w:rPr/>
              <w:drawing>
                <wp:inline distT="0" distB="0" distL="0" distR="0">
                  <wp:extent cx="2867025" cy="285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0"/>
                          <a:stretch>
                            <a:fillRect/>
                          </a:stretch>
                        </pic:blipFill>
                        <pic:spPr bwMode="auto">
                          <a:xfrm>
                            <a:off x="0" y="0"/>
                            <a:ext cx="2867025" cy="285750"/>
                          </a:xfrm>
                          <a:prstGeom prst="rect">
                            <a:avLst/>
                          </a:prstGeom>
                        </pic:spPr>
                      </pic:pic>
                    </a:graphicData>
                  </a:graphic>
                </wp:inline>
              </w:drawing>
            </w:r>
            <w:r>
              <w:rPr/>
              <w:t xml:space="preserve"> </w:t>
            </w:r>
          </w:p>
        </w:tc>
      </w:tr>
      <w:tr>
        <w:trPr/>
        <w:tc>
          <w:tcPr>
            <w:tcW w:w="4486" w:type="dxa"/>
            <w:tcBorders>
              <w:bottom w:val="single" w:sz="2" w:space="0" w:color="7F7F7F"/>
            </w:tcBorders>
            <w:tcMar>
              <w:bottom w:w="28" w:type="dxa"/>
            </w:tcMar>
          </w:tcPr>
          <w:p>
            <w:pPr>
              <w:pStyle w:val="TableContents"/>
              <w:bidi w:val="0"/>
              <w:spacing w:before="0" w:after="283"/>
              <w:jc w:val="left"/>
              <w:rPr/>
            </w:pPr>
            <w:r>
              <w:rPr/>
              <w:t> </w:t>
            </w:r>
          </w:p>
        </w:tc>
        <w:tc>
          <w:tcPr>
            <w:tcW w:w="120" w:type="dxa"/>
            <w:tcBorders>
              <w:bottom w:val="single" w:sz="2" w:space="0" w:color="7F7F7F"/>
            </w:tcBorders>
            <w:tcMar>
              <w:bottom w:w="28" w:type="dxa"/>
            </w:tcMar>
            <w:vAlign w:val="bottom"/>
          </w:tcPr>
          <w:p>
            <w:pPr>
              <w:pStyle w:val="TableContents"/>
              <w:bidi w:val="0"/>
              <w:spacing w:before="0" w:after="283"/>
              <w:jc w:val="left"/>
              <w:rPr/>
            </w:pPr>
            <w:r>
              <w:rPr/>
              <w:t>  </w:t>
            </w:r>
          </w:p>
        </w:tc>
        <w:tc>
          <w:tcPr>
            <w:tcW w:w="434" w:type="dxa"/>
            <w:tcBorders>
              <w:bottom w:val="single" w:sz="2" w:space="0" w:color="7F7F7F"/>
            </w:tcBorders>
            <w:tcMar>
              <w:bottom w:w="28" w:type="dxa"/>
            </w:tcMar>
            <w:vAlign w:val="bottom"/>
          </w:tcPr>
          <w:p>
            <w:pPr>
              <w:pStyle w:val="TableContents"/>
              <w:bidi w:val="0"/>
              <w:spacing w:before="0" w:after="283"/>
              <w:jc w:val="left"/>
              <w:rPr/>
            </w:pPr>
            <w:r>
              <w:rPr/>
              <w:t> </w:t>
            </w:r>
          </w:p>
        </w:tc>
        <w:tc>
          <w:tcPr>
            <w:tcW w:w="120" w:type="dxa"/>
            <w:tcBorders>
              <w:bottom w:val="single" w:sz="2" w:space="0" w:color="7F7F7F"/>
            </w:tcBorders>
            <w:tcMar>
              <w:bottom w:w="28" w:type="dxa"/>
            </w:tcMar>
            <w:vAlign w:val="bottom"/>
          </w:tcPr>
          <w:p>
            <w:pPr>
              <w:pStyle w:val="TableContents"/>
              <w:bidi w:val="0"/>
              <w:spacing w:before="0" w:after="283"/>
              <w:jc w:val="left"/>
              <w:rPr/>
            </w:pPr>
            <w:r>
              <w:rPr/>
              <w:t>  </w:t>
            </w:r>
          </w:p>
        </w:tc>
        <w:tc>
          <w:tcPr>
            <w:tcW w:w="5045" w:type="dxa"/>
            <w:tcBorders>
              <w:bottom w:val="single" w:sz="2" w:space="0" w:color="7F7F7F"/>
            </w:tcBorders>
            <w:tcMar>
              <w:bottom w:w="28" w:type="dxa"/>
            </w:tcM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August 5, 2026 </w:t>
      </w:r>
    </w:p>
    <w:p>
      <w:pPr>
        <w:pStyle w:val="TextBody"/>
        <w:bidi w:val="0"/>
        <w:spacing w:before="24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401 Wilshire Boulevard </w:t>
      </w:r>
    </w:p>
    <w:p>
      <w:pPr>
        <w:pStyle w:val="TextBody"/>
        <w:bidi w:val="0"/>
        <w:spacing w:before="0" w:after="0"/>
        <w:jc w:val="left"/>
        <w:rPr>
          <w:rFonts w:ascii="Times New Roman" w:hAnsi="Times New Roman"/>
          <w:sz w:val="20"/>
        </w:rPr>
      </w:pPr>
      <w:r>
        <w:rPr>
          <w:rFonts w:ascii="Times New Roman" w:hAnsi="Times New Roman"/>
          <w:sz w:val="20"/>
        </w:rPr>
        <w:t xml:space="preserve">Suite 700 </w:t>
      </w:r>
    </w:p>
    <w:p>
      <w:pPr>
        <w:pStyle w:val="TextBody"/>
        <w:bidi w:val="0"/>
        <w:spacing w:before="0" w:after="0"/>
        <w:jc w:val="left"/>
        <w:rPr>
          <w:rFonts w:ascii="Times New Roman" w:hAnsi="Times New Roman"/>
          <w:sz w:val="20"/>
        </w:rPr>
      </w:pPr>
      <w:r>
        <w:rPr>
          <w:rFonts w:ascii="Times New Roman" w:hAnsi="Times New Roman"/>
          <w:sz w:val="20"/>
        </w:rPr>
        <w:t xml:space="preserve">Santa Monica, California 90401 </w:t>
      </w:r>
    </w:p>
    <w:p>
      <w:pPr>
        <w:pStyle w:val="TextBody"/>
        <w:bidi w:val="0"/>
        <w:spacing w:before="240" w:after="0"/>
        <w:jc w:val="left"/>
        <w:rPr>
          <w:rFonts w:ascii="Times New Roman" w:hAnsi="Times New Roman"/>
          <w:sz w:val="20"/>
        </w:rPr>
      </w:pPr>
      <w:r>
        <w:rPr>
          <w:rFonts w:ascii="Times New Roman" w:hAnsi="Times New Roman"/>
          <w:sz w:val="20"/>
        </w:rPr>
        <w:t>Re: </w:t>
      </w:r>
      <w:r>
        <w:rPr>
          <w:rFonts w:ascii="Times New Roman" w:hAnsi="Times New Roman"/>
          <w:sz w:val="20"/>
          <w:u w:val="single"/>
        </w:rPr>
        <w:t xml:space="preserve">Registration Statement on Form S-3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Maryland counsel to The Macerich Company, a Maryland corporation (the “Company”), in connection with certain matters of Maryland law arising out of the registration by the Company on Form S-3 of the following securities: (a) shares (the “Common Shares”) of common stock of the Company, par value $0.01 per share (“Common Stock”); (b) shares (the “Preferred Shares”) of preferred stock of the Company, par value $0.01 per share (“Preferred Stock”); (c) depositary shares representing an interest in a fractional share or multiple shares of Preferred Stock (the “Depositary Shares”); (d) senior and/or subordinated debt securities (the “Debt Securities”); (e) warrants to purchase Common Stock, Preferred Stock and/or Debt Securities (the “Warrants”); (f) rights to purchase Common Stock, Preferred Stock and/or Debt Securities (the “Rights”); (g) stock purchase contracts relating to a specified number of shares of Common Stock, shares of Preferred Stock or Depositary Shares (“Stock Purchase Contracts”); and (h) units consisting of two or more of the foregoing classes or series of securities (the “Units” and, together with the Common Shares, Preferred Shares, Depositary Shares, Debt Securities, Warrants, Rights and Stock Purchase Contracts, the “Securities”), covered by the above-referenced Registration Statement (as amended and supplemented, the “Registration Statement”), filed by the Company with the U.S. Securities and Exchange Commission (the “Commission”) under the Securities Act of 1933, as amended (the “Securities Act”), on or about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representation of the Company, and as a basis for the opinion hereinafter set forth, we have examined originals, or copies certified or otherwise identified to our satisfaction, of the following documents (hereinafter collectively referred to as the “Documents”): </w:t>
      </w:r>
    </w:p>
    <w:p>
      <w:pPr>
        <w:pStyle w:val="TextBody"/>
        <w:bidi w:val="0"/>
        <w:spacing w:before="240" w:after="0"/>
        <w:jc w:val="left"/>
        <w:rPr>
          <w:rFonts w:ascii="Times New Roman" w:hAnsi="Times New Roman"/>
          <w:sz w:val="20"/>
        </w:rPr>
      </w:pPr>
      <w:r>
        <w:rPr>
          <w:rFonts w:ascii="Times New Roman" w:hAnsi="Times New Roman"/>
          <w:sz w:val="20"/>
        </w:rPr>
        <w:t xml:space="preserve">1. The Registration Statement and the related form of prospectus included therein (the “Prospectus”), substantially in the form to be transmitted to the Commission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2. The charter of the Company (the “Charter”), certified by the State Department of Assessments and Taxation of Maryland (the “SDAT”);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03"/>
        <w:gridCol w:w="121"/>
        <w:gridCol w:w="486"/>
        <w:gridCol w:w="121"/>
        <w:gridCol w:w="4274"/>
      </w:tblGrid>
      <w:tr>
        <w:trPr/>
        <w:tc>
          <w:tcPr>
            <w:tcW w:w="520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274" w:type="dxa"/>
            <w:tcBorders/>
            <w:vAlign w:val="center"/>
          </w:tcPr>
          <w:p>
            <w:pPr>
              <w:pStyle w:val="TableContents"/>
              <w:bidi w:val="0"/>
              <w:spacing w:before="0" w:after="283"/>
              <w:jc w:val="left"/>
              <w:rPr>
                <w:sz w:val="4"/>
                <w:szCs w:val="4"/>
              </w:rPr>
            </w:pPr>
            <w:r>
              <w:rPr>
                <w:sz w:val="4"/>
                <w:szCs w:val="4"/>
              </w:rPr>
            </w:r>
          </w:p>
        </w:tc>
      </w:tr>
      <w:tr>
        <w:trPr/>
        <w:tc>
          <w:tcPr>
            <w:tcW w:w="5203" w:type="dxa"/>
            <w:tcBorders/>
          </w:tcPr>
          <w:p>
            <w:pPr>
              <w:pStyle w:val="TableContents"/>
              <w:bidi w:val="0"/>
              <w:spacing w:before="0" w:after="283"/>
              <w:jc w:val="left"/>
              <w:rPr/>
            </w:pPr>
            <w:r>
              <w:rPr/>
              <w:drawing>
                <wp:inline distT="0" distB="0" distL="0" distR="0">
                  <wp:extent cx="1866900" cy="457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1"/>
                          <a:stretch>
                            <a:fillRect/>
                          </a:stretch>
                        </pic:blipFill>
                        <pic:spPr bwMode="auto">
                          <a:xfrm>
                            <a:off x="0" y="0"/>
                            <a:ext cx="1866900" cy="45720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8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274" w:type="dxa"/>
            <w:tcBorders/>
          </w:tcPr>
          <w:p>
            <w:pPr>
              <w:pStyle w:val="TableContents"/>
              <w:bidi w:val="0"/>
              <w:spacing w:before="0" w:after="283"/>
              <w:jc w:val="left"/>
              <w:rPr>
                <w:sz w:val="4"/>
                <w:szCs w:val="4"/>
              </w:rPr>
            </w:pPr>
            <w:r>
              <w:rPr>
                <w:sz w:val="4"/>
                <w:szCs w:val="4"/>
              </w:rPr>
            </w:r>
          </w:p>
        </w:tc>
      </w:tr>
      <w:tr>
        <w:trPr/>
        <w:tc>
          <w:tcPr>
            <w:tcW w:w="5203" w:type="dxa"/>
            <w:tcBorders>
              <w:bottom w:val="single" w:sz="2" w:space="0" w:color="7F7F7F"/>
            </w:tcBorders>
            <w:tcMar>
              <w:bottom w:w="28" w:type="dxa"/>
            </w:tcMar>
          </w:tcPr>
          <w:p>
            <w:pPr>
              <w:pStyle w:val="TableContents"/>
              <w:bidi w:val="0"/>
              <w:spacing w:before="0" w:after="283"/>
              <w:jc w:val="left"/>
              <w:rPr/>
            </w:pPr>
            <w:r>
              <w:rPr/>
              <w:t> </w:t>
            </w:r>
          </w:p>
        </w:tc>
        <w:tc>
          <w:tcPr>
            <w:tcW w:w="121" w:type="dxa"/>
            <w:tcBorders>
              <w:bottom w:val="single" w:sz="2" w:space="0" w:color="7F7F7F"/>
            </w:tcBorders>
            <w:tcMar>
              <w:bottom w:w="28" w:type="dxa"/>
            </w:tcMar>
            <w:vAlign w:val="bottom"/>
          </w:tcPr>
          <w:p>
            <w:pPr>
              <w:pStyle w:val="TableContents"/>
              <w:bidi w:val="0"/>
              <w:spacing w:before="0" w:after="283"/>
              <w:jc w:val="left"/>
              <w:rPr/>
            </w:pPr>
            <w:r>
              <w:rPr/>
              <w:t>  </w:t>
            </w:r>
          </w:p>
        </w:tc>
        <w:tc>
          <w:tcPr>
            <w:tcW w:w="486" w:type="dxa"/>
            <w:tcBorders>
              <w:bottom w:val="single" w:sz="2" w:space="0" w:color="7F7F7F"/>
            </w:tcBorders>
            <w:tcMar>
              <w:bottom w:w="28" w:type="dxa"/>
            </w:tcMar>
            <w:vAlign w:val="bottom"/>
          </w:tcPr>
          <w:p>
            <w:pPr>
              <w:pStyle w:val="TableContents"/>
              <w:bidi w:val="0"/>
              <w:spacing w:before="0" w:after="283"/>
              <w:jc w:val="left"/>
              <w:rPr/>
            </w:pPr>
            <w:r>
              <w:rPr/>
              <w:t> </w:t>
            </w:r>
          </w:p>
        </w:tc>
        <w:tc>
          <w:tcPr>
            <w:tcW w:w="121" w:type="dxa"/>
            <w:tcBorders>
              <w:bottom w:val="single" w:sz="2" w:space="0" w:color="7F7F7F"/>
            </w:tcBorders>
            <w:tcMar>
              <w:bottom w:w="28" w:type="dxa"/>
            </w:tcMar>
            <w:vAlign w:val="bottom"/>
          </w:tcPr>
          <w:p>
            <w:pPr>
              <w:pStyle w:val="TableContents"/>
              <w:bidi w:val="0"/>
              <w:spacing w:before="0" w:after="283"/>
              <w:jc w:val="left"/>
              <w:rPr/>
            </w:pPr>
            <w:r>
              <w:rPr/>
              <w:t>  </w:t>
            </w:r>
          </w:p>
        </w:tc>
        <w:tc>
          <w:tcPr>
            <w:tcW w:w="4274" w:type="dxa"/>
            <w:tcBorders>
              <w:bottom w:val="single" w:sz="2" w:space="0" w:color="7F7F7F"/>
            </w:tcBorders>
            <w:tcMar>
              <w:bottom w:w="28" w:type="dxa"/>
            </w:tcMar>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3. The Amended and Restated Bylaws of the Company (the “Bylaws”), certified as of the date hereof by an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4. Resolutions (the “Resolutions”) adopted by the Board of Directors of the Company (the “Board”), relating to, among other matters, the approval of the filing of the Registration Statement, certified as of the date hereof by an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5. A certificate of the SDAT as to the good standing of the Company, dated as of a recent date; </w:t>
      </w:r>
    </w:p>
    <w:p>
      <w:pPr>
        <w:pStyle w:val="TextBody"/>
        <w:bidi w:val="0"/>
        <w:spacing w:before="240" w:after="0"/>
        <w:jc w:val="left"/>
        <w:rPr>
          <w:rFonts w:ascii="Times New Roman" w:hAnsi="Times New Roman"/>
          <w:sz w:val="20"/>
        </w:rPr>
      </w:pPr>
      <w:r>
        <w:rPr>
          <w:rFonts w:ascii="Times New Roman" w:hAnsi="Times New Roman"/>
          <w:sz w:val="20"/>
        </w:rPr>
        <w:t xml:space="preserve">6. A certificate executed by an officer of the Company, dated as of the date hereof; and </w:t>
      </w:r>
    </w:p>
    <w:p>
      <w:pPr>
        <w:pStyle w:val="TextBody"/>
        <w:bidi w:val="0"/>
        <w:spacing w:before="240" w:after="0"/>
        <w:jc w:val="left"/>
        <w:rPr>
          <w:rFonts w:ascii="Times New Roman" w:hAnsi="Times New Roman"/>
          <w:sz w:val="20"/>
        </w:rPr>
      </w:pPr>
      <w:r>
        <w:rPr>
          <w:rFonts w:ascii="Times New Roman" w:hAnsi="Times New Roman"/>
          <w:sz w:val="20"/>
        </w:rPr>
        <w:t xml:space="preserve">7. Such other documents and matters as we have deemed necessary or appropriate to express the opinion set forth below, subject to the assumptions, limitations and qualifications stated herein. </w:t>
      </w:r>
    </w:p>
    <w:p>
      <w:pPr>
        <w:pStyle w:val="TextBody"/>
        <w:bidi w:val="0"/>
        <w:spacing w:before="240" w:after="0"/>
        <w:jc w:val="left"/>
        <w:rPr>
          <w:rFonts w:ascii="Times New Roman" w:hAnsi="Times New Roman"/>
          <w:sz w:val="20"/>
        </w:rPr>
      </w:pPr>
      <w:r>
        <w:rPr>
          <w:rFonts w:ascii="Times New Roman" w:hAnsi="Times New Roman"/>
          <w:sz w:val="20"/>
        </w:rPr>
        <w:t xml:space="preserve">In expressing the opinion set forth below, we have assumed the following: </w:t>
      </w:r>
    </w:p>
    <w:p>
      <w:pPr>
        <w:pStyle w:val="TextBody"/>
        <w:bidi w:val="0"/>
        <w:spacing w:before="240" w:after="0"/>
        <w:jc w:val="left"/>
        <w:rPr>
          <w:rFonts w:ascii="Times New Roman" w:hAnsi="Times New Roman"/>
          <w:sz w:val="20"/>
        </w:rPr>
      </w:pPr>
      <w:r>
        <w:rPr>
          <w:rFonts w:ascii="Times New Roman" w:hAnsi="Times New Roman"/>
          <w:sz w:val="20"/>
        </w:rPr>
        <w:t xml:space="preserve">1. Each individual executing any of the Documents, whether on behalf of such individual or another person, is legally competent to do so. </w:t>
      </w:r>
    </w:p>
    <w:p>
      <w:pPr>
        <w:pStyle w:val="TextBody"/>
        <w:bidi w:val="0"/>
        <w:spacing w:before="240" w:after="0"/>
        <w:jc w:val="left"/>
        <w:rPr>
          <w:rFonts w:ascii="Times New Roman" w:hAnsi="Times New Roman"/>
          <w:sz w:val="20"/>
        </w:rPr>
      </w:pPr>
      <w:r>
        <w:rPr>
          <w:rFonts w:ascii="Times New Roman" w:hAnsi="Times New Roman"/>
          <w:sz w:val="20"/>
        </w:rPr>
        <w:t xml:space="preserve">2. Each individual executing any of the Documents on behalf of a party (other than the Company) is duly authorized to do so. </w:t>
      </w:r>
    </w:p>
    <w:p>
      <w:pPr>
        <w:pStyle w:val="TextBody"/>
        <w:bidi w:val="0"/>
        <w:spacing w:before="240" w:after="0"/>
        <w:jc w:val="left"/>
        <w:rPr>
          <w:rFonts w:ascii="Times New Roman" w:hAnsi="Times New Roman"/>
          <w:sz w:val="20"/>
        </w:rPr>
      </w:pPr>
      <w:r>
        <w:rPr>
          <w:rFonts w:ascii="Times New Roman" w:hAnsi="Times New Roman"/>
          <w:sz w:val="20"/>
        </w:rPr>
        <w:t xml:space="preserve">3. Each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 </w:t>
      </w:r>
    </w:p>
    <w:p>
      <w:pPr>
        <w:pStyle w:val="TextBody"/>
        <w:bidi w:val="0"/>
        <w:spacing w:before="240" w:after="0"/>
        <w:jc w:val="left"/>
        <w:rPr>
          <w:rFonts w:ascii="Times New Roman" w:hAnsi="Times New Roman"/>
          <w:sz w:val="20"/>
        </w:rPr>
      </w:pPr>
      <w:r>
        <w:rPr>
          <w:rFonts w:ascii="Times New Roman" w:hAnsi="Times New Roman"/>
          <w:sz w:val="20"/>
        </w:rPr>
        <w:t xml:space="preserve">4. All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03"/>
        <w:gridCol w:w="121"/>
        <w:gridCol w:w="486"/>
        <w:gridCol w:w="121"/>
        <w:gridCol w:w="4274"/>
      </w:tblGrid>
      <w:tr>
        <w:trPr/>
        <w:tc>
          <w:tcPr>
            <w:tcW w:w="520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274" w:type="dxa"/>
            <w:tcBorders/>
            <w:vAlign w:val="center"/>
          </w:tcPr>
          <w:p>
            <w:pPr>
              <w:pStyle w:val="TableContents"/>
              <w:bidi w:val="0"/>
              <w:spacing w:before="0" w:after="283"/>
              <w:jc w:val="left"/>
              <w:rPr>
                <w:sz w:val="4"/>
                <w:szCs w:val="4"/>
              </w:rPr>
            </w:pPr>
            <w:r>
              <w:rPr>
                <w:sz w:val="4"/>
                <w:szCs w:val="4"/>
              </w:rPr>
            </w:r>
          </w:p>
        </w:tc>
      </w:tr>
      <w:tr>
        <w:trPr/>
        <w:tc>
          <w:tcPr>
            <w:tcW w:w="5203" w:type="dxa"/>
            <w:tcBorders/>
          </w:tcPr>
          <w:p>
            <w:pPr>
              <w:pStyle w:val="TableContents"/>
              <w:bidi w:val="0"/>
              <w:spacing w:before="0" w:after="283"/>
              <w:jc w:val="left"/>
              <w:rPr/>
            </w:pPr>
            <w:r>
              <w:rPr/>
              <w:drawing>
                <wp:inline distT="0" distB="0" distL="0" distR="0">
                  <wp:extent cx="1866900" cy="457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2"/>
                          <a:stretch>
                            <a:fillRect/>
                          </a:stretch>
                        </pic:blipFill>
                        <pic:spPr bwMode="auto">
                          <a:xfrm>
                            <a:off x="0" y="0"/>
                            <a:ext cx="1866900" cy="45720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8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274" w:type="dxa"/>
            <w:tcBorders/>
          </w:tcPr>
          <w:p>
            <w:pPr>
              <w:pStyle w:val="TableContents"/>
              <w:bidi w:val="0"/>
              <w:spacing w:before="0" w:after="283"/>
              <w:jc w:val="left"/>
              <w:rPr>
                <w:sz w:val="4"/>
                <w:szCs w:val="4"/>
              </w:rPr>
            </w:pPr>
            <w:r>
              <w:rPr>
                <w:sz w:val="4"/>
                <w:szCs w:val="4"/>
              </w:rPr>
            </w:r>
          </w:p>
        </w:tc>
      </w:tr>
      <w:tr>
        <w:trPr/>
        <w:tc>
          <w:tcPr>
            <w:tcW w:w="5203" w:type="dxa"/>
            <w:tcBorders>
              <w:bottom w:val="single" w:sz="2" w:space="0" w:color="7F7F7F"/>
            </w:tcBorders>
            <w:tcMar>
              <w:bottom w:w="28" w:type="dxa"/>
            </w:tcMar>
          </w:tcPr>
          <w:p>
            <w:pPr>
              <w:pStyle w:val="TableContents"/>
              <w:bidi w:val="0"/>
              <w:spacing w:before="0" w:after="283"/>
              <w:jc w:val="left"/>
              <w:rPr/>
            </w:pPr>
            <w:r>
              <w:rPr/>
              <w:t> </w:t>
            </w:r>
          </w:p>
        </w:tc>
        <w:tc>
          <w:tcPr>
            <w:tcW w:w="121" w:type="dxa"/>
            <w:tcBorders>
              <w:bottom w:val="single" w:sz="2" w:space="0" w:color="7F7F7F"/>
            </w:tcBorders>
            <w:tcMar>
              <w:bottom w:w="28" w:type="dxa"/>
            </w:tcMar>
            <w:vAlign w:val="bottom"/>
          </w:tcPr>
          <w:p>
            <w:pPr>
              <w:pStyle w:val="TableContents"/>
              <w:bidi w:val="0"/>
              <w:spacing w:before="0" w:after="283"/>
              <w:jc w:val="left"/>
              <w:rPr/>
            </w:pPr>
            <w:r>
              <w:rPr/>
              <w:t>  </w:t>
            </w:r>
          </w:p>
        </w:tc>
        <w:tc>
          <w:tcPr>
            <w:tcW w:w="486" w:type="dxa"/>
            <w:tcBorders>
              <w:bottom w:val="single" w:sz="2" w:space="0" w:color="7F7F7F"/>
            </w:tcBorders>
            <w:tcMar>
              <w:bottom w:w="28" w:type="dxa"/>
            </w:tcMar>
            <w:vAlign w:val="bottom"/>
          </w:tcPr>
          <w:p>
            <w:pPr>
              <w:pStyle w:val="TableContents"/>
              <w:bidi w:val="0"/>
              <w:spacing w:before="0" w:after="283"/>
              <w:jc w:val="left"/>
              <w:rPr/>
            </w:pPr>
            <w:r>
              <w:rPr/>
              <w:t> </w:t>
            </w:r>
          </w:p>
        </w:tc>
        <w:tc>
          <w:tcPr>
            <w:tcW w:w="121" w:type="dxa"/>
            <w:tcBorders>
              <w:bottom w:val="single" w:sz="2" w:space="0" w:color="7F7F7F"/>
            </w:tcBorders>
            <w:tcMar>
              <w:bottom w:w="28" w:type="dxa"/>
            </w:tcMar>
            <w:vAlign w:val="bottom"/>
          </w:tcPr>
          <w:p>
            <w:pPr>
              <w:pStyle w:val="TableContents"/>
              <w:bidi w:val="0"/>
              <w:spacing w:before="0" w:after="283"/>
              <w:jc w:val="left"/>
              <w:rPr/>
            </w:pPr>
            <w:r>
              <w:rPr/>
              <w:t>  </w:t>
            </w:r>
          </w:p>
        </w:tc>
        <w:tc>
          <w:tcPr>
            <w:tcW w:w="4274" w:type="dxa"/>
            <w:tcBorders>
              <w:bottom w:val="single" w:sz="2" w:space="0" w:color="7F7F7F"/>
            </w:tcBorders>
            <w:tcMar>
              <w:bottom w:w="28" w:type="dxa"/>
            </w:tcMar>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5. The issuance, and certain terms, of the Securities to be issued by the Company from time to time will be authorized and approved by the Board, or a duly authorized committee thereof, in accordance with the Maryland General Corporation Law, the Charter, the Bylaws and the Resolutions, and, with respect to Preferred Shares, Articles Supplementary setting forth the number of shares and the terms of any class or series of Preferred Stock (the “Articles Supplementary”) to be issued by the Company will be filed with and accepted for record by the SDAT prior to the issuance of such Preferred Shares (such authorization and approval and, if applicable, acceptance for record, are referred to herein as the “Corporate Proceedings”). </w:t>
      </w:r>
    </w:p>
    <w:p>
      <w:pPr>
        <w:pStyle w:val="TextBody"/>
        <w:bidi w:val="0"/>
        <w:spacing w:before="240" w:after="0"/>
        <w:jc w:val="left"/>
        <w:rPr>
          <w:rFonts w:ascii="Times New Roman" w:hAnsi="Times New Roman"/>
          <w:sz w:val="20"/>
        </w:rPr>
      </w:pPr>
      <w:r>
        <w:rPr>
          <w:rFonts w:ascii="Times New Roman" w:hAnsi="Times New Roman"/>
          <w:sz w:val="20"/>
        </w:rPr>
        <w:t xml:space="preserve">6. Upon the issuance of any Common Shares, including any Common Shares which may be issued upon conversion or exercise of any other Securities that are convertible into or exercisable for Common Stock, the total number of shares of Common Stock issued and outstanding will not exceed the total number of shares of Common Stock that the Company is then authorized to issue under the Charter. </w:t>
      </w:r>
    </w:p>
    <w:p>
      <w:pPr>
        <w:pStyle w:val="TextBody"/>
        <w:bidi w:val="0"/>
        <w:spacing w:before="240" w:after="0"/>
        <w:jc w:val="left"/>
        <w:rPr>
          <w:rFonts w:ascii="Times New Roman" w:hAnsi="Times New Roman"/>
          <w:sz w:val="20"/>
        </w:rPr>
      </w:pPr>
      <w:r>
        <w:rPr>
          <w:rFonts w:ascii="Times New Roman" w:hAnsi="Times New Roman"/>
          <w:sz w:val="20"/>
        </w:rPr>
        <w:t xml:space="preserve">7. Upon the issuance of any Preferred Shares, including any Preferred Shares which may be issued upon conversion or exercise of any other Securities that are convertible into or exercisable for Preferred Stock, the total number of shares of Preferred Stock issued and outstanding, and the total number of issued and outstanding shares of the applicable class or series of Preferred Stock designated pursuant to the Charter, will not exceed, respectively, the total number of shares, and the number of shares of such class or series, of Preferred Stock that the Company is then authorized to issue under the Charter. </w:t>
      </w:r>
    </w:p>
    <w:p>
      <w:pPr>
        <w:pStyle w:val="TextBody"/>
        <w:bidi w:val="0"/>
        <w:spacing w:before="240" w:after="0"/>
        <w:jc w:val="left"/>
        <w:rPr>
          <w:rFonts w:ascii="Times New Roman" w:hAnsi="Times New Roman"/>
          <w:sz w:val="20"/>
        </w:rPr>
      </w:pPr>
      <w:r>
        <w:rPr>
          <w:rFonts w:ascii="Times New Roman" w:hAnsi="Times New Roman"/>
          <w:sz w:val="20"/>
        </w:rPr>
        <w:t xml:space="preserve">8. Any Securities convertible into or exercisable for any other Securities will be duly converted or exercised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9. None of the Securities will be issued in violation of the restrictions on ownership and transfer set forth in Article EIGHTH of the Charter or any comparable provision in the Articles Supplementary creating any class or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assumptions, limitations and qualifications stated herein, it is our opinion that: </w:t>
      </w:r>
    </w:p>
    <w:p>
      <w:pPr>
        <w:pStyle w:val="TextBody"/>
        <w:bidi w:val="0"/>
        <w:spacing w:before="240" w:after="0"/>
        <w:jc w:val="left"/>
        <w:rPr>
          <w:rFonts w:ascii="Times New Roman" w:hAnsi="Times New Roman"/>
          <w:sz w:val="20"/>
        </w:rPr>
      </w:pPr>
      <w:r>
        <w:rPr>
          <w:rFonts w:ascii="Times New Roman" w:hAnsi="Times New Roman"/>
          <w:sz w:val="20"/>
        </w:rPr>
        <w:t xml:space="preserve">1. The Company is a corporation duly incorporated and existing under and by virtue of the laws of the State of Maryland and is in good standing with the SDAT. </w:t>
      </w:r>
    </w:p>
    <w:p>
      <w:pPr>
        <w:pStyle w:val="TextBody"/>
        <w:bidi w:val="0"/>
        <w:spacing w:before="240" w:after="0"/>
        <w:jc w:val="left"/>
        <w:rPr>
          <w:rFonts w:ascii="Times New Roman" w:hAnsi="Times New Roman"/>
          <w:sz w:val="20"/>
        </w:rPr>
      </w:pPr>
      <w:r>
        <w:rPr>
          <w:rFonts w:ascii="Times New Roman" w:hAnsi="Times New Roman"/>
          <w:sz w:val="20"/>
        </w:rPr>
        <w:t xml:space="preserve">2. Upon the completion of all Corporate Proceedings relating to the Common Shares, the issuance of the Common Shares will be duly authorized and, when and if issued and delivered against payment therefor in accordance with the Registration Statement and the Corporate Proceedings, the Common Shares will be validly issued, fully paid and nonassessable.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03"/>
        <w:gridCol w:w="121"/>
        <w:gridCol w:w="486"/>
        <w:gridCol w:w="121"/>
        <w:gridCol w:w="4274"/>
      </w:tblGrid>
      <w:tr>
        <w:trPr/>
        <w:tc>
          <w:tcPr>
            <w:tcW w:w="520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274" w:type="dxa"/>
            <w:tcBorders/>
            <w:vAlign w:val="center"/>
          </w:tcPr>
          <w:p>
            <w:pPr>
              <w:pStyle w:val="TableContents"/>
              <w:bidi w:val="0"/>
              <w:spacing w:before="0" w:after="283"/>
              <w:jc w:val="left"/>
              <w:rPr>
                <w:sz w:val="4"/>
                <w:szCs w:val="4"/>
              </w:rPr>
            </w:pPr>
            <w:r>
              <w:rPr>
                <w:sz w:val="4"/>
                <w:szCs w:val="4"/>
              </w:rPr>
            </w:r>
          </w:p>
        </w:tc>
      </w:tr>
      <w:tr>
        <w:trPr/>
        <w:tc>
          <w:tcPr>
            <w:tcW w:w="5203" w:type="dxa"/>
            <w:tcBorders/>
          </w:tcPr>
          <w:p>
            <w:pPr>
              <w:pStyle w:val="TableContents"/>
              <w:bidi w:val="0"/>
              <w:spacing w:before="0" w:after="283"/>
              <w:jc w:val="left"/>
              <w:rPr/>
            </w:pPr>
            <w:r>
              <w:rPr/>
              <w:drawing>
                <wp:inline distT="0" distB="0" distL="0" distR="0">
                  <wp:extent cx="1866900" cy="4572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3"/>
                          <a:stretch>
                            <a:fillRect/>
                          </a:stretch>
                        </pic:blipFill>
                        <pic:spPr bwMode="auto">
                          <a:xfrm>
                            <a:off x="0" y="0"/>
                            <a:ext cx="1866900" cy="45720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8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274" w:type="dxa"/>
            <w:tcBorders/>
          </w:tcPr>
          <w:p>
            <w:pPr>
              <w:pStyle w:val="TableContents"/>
              <w:bidi w:val="0"/>
              <w:spacing w:before="0" w:after="283"/>
              <w:jc w:val="left"/>
              <w:rPr>
                <w:sz w:val="4"/>
                <w:szCs w:val="4"/>
              </w:rPr>
            </w:pPr>
            <w:r>
              <w:rPr>
                <w:sz w:val="4"/>
                <w:szCs w:val="4"/>
              </w:rPr>
            </w:r>
          </w:p>
        </w:tc>
      </w:tr>
      <w:tr>
        <w:trPr/>
        <w:tc>
          <w:tcPr>
            <w:tcW w:w="5203" w:type="dxa"/>
            <w:tcBorders>
              <w:bottom w:val="single" w:sz="2" w:space="0" w:color="7F7F7F"/>
            </w:tcBorders>
            <w:tcMar>
              <w:bottom w:w="28" w:type="dxa"/>
            </w:tcMar>
          </w:tcPr>
          <w:p>
            <w:pPr>
              <w:pStyle w:val="TableContents"/>
              <w:bidi w:val="0"/>
              <w:spacing w:before="0" w:after="283"/>
              <w:jc w:val="left"/>
              <w:rPr/>
            </w:pPr>
            <w:r>
              <w:rPr/>
              <w:t> </w:t>
            </w:r>
          </w:p>
        </w:tc>
        <w:tc>
          <w:tcPr>
            <w:tcW w:w="121" w:type="dxa"/>
            <w:tcBorders>
              <w:bottom w:val="single" w:sz="2" w:space="0" w:color="7F7F7F"/>
            </w:tcBorders>
            <w:tcMar>
              <w:bottom w:w="28" w:type="dxa"/>
            </w:tcMar>
            <w:vAlign w:val="bottom"/>
          </w:tcPr>
          <w:p>
            <w:pPr>
              <w:pStyle w:val="TableContents"/>
              <w:bidi w:val="0"/>
              <w:spacing w:before="0" w:after="283"/>
              <w:jc w:val="left"/>
              <w:rPr/>
            </w:pPr>
            <w:r>
              <w:rPr/>
              <w:t>  </w:t>
            </w:r>
          </w:p>
        </w:tc>
        <w:tc>
          <w:tcPr>
            <w:tcW w:w="486" w:type="dxa"/>
            <w:tcBorders>
              <w:bottom w:val="single" w:sz="2" w:space="0" w:color="7F7F7F"/>
            </w:tcBorders>
            <w:tcMar>
              <w:bottom w:w="28" w:type="dxa"/>
            </w:tcMar>
            <w:vAlign w:val="bottom"/>
          </w:tcPr>
          <w:p>
            <w:pPr>
              <w:pStyle w:val="TableContents"/>
              <w:bidi w:val="0"/>
              <w:spacing w:before="0" w:after="283"/>
              <w:jc w:val="left"/>
              <w:rPr/>
            </w:pPr>
            <w:r>
              <w:rPr/>
              <w:t> </w:t>
            </w:r>
          </w:p>
        </w:tc>
        <w:tc>
          <w:tcPr>
            <w:tcW w:w="121" w:type="dxa"/>
            <w:tcBorders>
              <w:bottom w:val="single" w:sz="2" w:space="0" w:color="7F7F7F"/>
            </w:tcBorders>
            <w:tcMar>
              <w:bottom w:w="28" w:type="dxa"/>
            </w:tcMar>
            <w:vAlign w:val="bottom"/>
          </w:tcPr>
          <w:p>
            <w:pPr>
              <w:pStyle w:val="TableContents"/>
              <w:bidi w:val="0"/>
              <w:spacing w:before="0" w:after="283"/>
              <w:jc w:val="left"/>
              <w:rPr/>
            </w:pPr>
            <w:r>
              <w:rPr/>
              <w:t>  </w:t>
            </w:r>
          </w:p>
        </w:tc>
        <w:tc>
          <w:tcPr>
            <w:tcW w:w="4274" w:type="dxa"/>
            <w:tcBorders>
              <w:bottom w:val="single" w:sz="2" w:space="0" w:color="7F7F7F"/>
            </w:tcBorders>
            <w:tcMar>
              <w:bottom w:w="28" w:type="dxa"/>
            </w:tcMar>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3. Upon the completion of all Corporate Proceedings relating to the Preferred Shares, the issuance of the Preferred Shares will be duly authorized and, when and if issued and delivered against payment therefor in accordance with the Registration Statement and the Corporate Proceedings, the Preferred Shares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4. Upon the completion of all Corporate Proceedings relating to the Depositary Shares, the issuance of the Depositary Shares will be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5. Upon the completion of all Corporate Proceedings relating to the Debt Securities, the issuance of the Debt Securities will be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6. Upon the completion of all Corporate Proceedings relating to the Warrants, the issuance of the Warrants will be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7. Upon the completion of all Corporate Proceedings relating to the Rights, the issuance of the Rights will be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8. Upon the completion of all Corporate Proceedings relating to the Stock Purchase Contracts, the issuance of the Stock Purchase Contracts will be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9. Upon the completion of all Corporate Proceedings relating to the Units, the issuance of the Units will be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opinion is limited to the laws of the State of Maryland, and we do not express any opinion herein concerning United States federal law or the laws of any other jurisdiction. We express no opinion as to the applicability or effect of federal or state securities laws, including the securities laws of the State of Maryland, federal or state laws regarding fraudulent transfers or the laws, codes or regulations of any municipality or other local jurisdiction. To the extent that any matter as to which our opinion is expressed herein would be governed by the laws of any jurisdiction other than the State of Maryland, we do not express any opinion on such matter. The opinion expressed herein is subject to the effect of any judicial decision which may permit the introduction of parol evidence to modify the terms or the interpretation of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03"/>
        <w:gridCol w:w="121"/>
        <w:gridCol w:w="486"/>
        <w:gridCol w:w="121"/>
        <w:gridCol w:w="4274"/>
      </w:tblGrid>
      <w:tr>
        <w:trPr/>
        <w:tc>
          <w:tcPr>
            <w:tcW w:w="520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274" w:type="dxa"/>
            <w:tcBorders/>
            <w:vAlign w:val="center"/>
          </w:tcPr>
          <w:p>
            <w:pPr>
              <w:pStyle w:val="TableContents"/>
              <w:bidi w:val="0"/>
              <w:spacing w:before="0" w:after="283"/>
              <w:jc w:val="left"/>
              <w:rPr>
                <w:sz w:val="4"/>
                <w:szCs w:val="4"/>
              </w:rPr>
            </w:pPr>
            <w:r>
              <w:rPr>
                <w:sz w:val="4"/>
                <w:szCs w:val="4"/>
              </w:rPr>
            </w:r>
          </w:p>
        </w:tc>
      </w:tr>
      <w:tr>
        <w:trPr/>
        <w:tc>
          <w:tcPr>
            <w:tcW w:w="5203" w:type="dxa"/>
            <w:tcBorders/>
          </w:tcPr>
          <w:p>
            <w:pPr>
              <w:pStyle w:val="TableContents"/>
              <w:bidi w:val="0"/>
              <w:spacing w:before="0" w:after="283"/>
              <w:jc w:val="left"/>
              <w:rPr/>
            </w:pPr>
            <w:r>
              <w:rPr/>
              <w:drawing>
                <wp:inline distT="0" distB="0" distL="0" distR="0">
                  <wp:extent cx="1866900" cy="4572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34"/>
                          <a:stretch>
                            <a:fillRect/>
                          </a:stretch>
                        </pic:blipFill>
                        <pic:spPr bwMode="auto">
                          <a:xfrm>
                            <a:off x="0" y="0"/>
                            <a:ext cx="1866900" cy="45720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8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274" w:type="dxa"/>
            <w:tcBorders/>
          </w:tcPr>
          <w:p>
            <w:pPr>
              <w:pStyle w:val="TableContents"/>
              <w:bidi w:val="0"/>
              <w:spacing w:before="0" w:after="283"/>
              <w:jc w:val="left"/>
              <w:rPr>
                <w:sz w:val="4"/>
                <w:szCs w:val="4"/>
              </w:rPr>
            </w:pPr>
            <w:r>
              <w:rPr>
                <w:sz w:val="4"/>
                <w:szCs w:val="4"/>
              </w:rPr>
            </w:r>
          </w:p>
        </w:tc>
      </w:tr>
      <w:tr>
        <w:trPr/>
        <w:tc>
          <w:tcPr>
            <w:tcW w:w="5203" w:type="dxa"/>
            <w:tcBorders>
              <w:bottom w:val="single" w:sz="2" w:space="0" w:color="7F7F7F"/>
            </w:tcBorders>
            <w:tcMar>
              <w:bottom w:w="28" w:type="dxa"/>
            </w:tcMar>
          </w:tcPr>
          <w:p>
            <w:pPr>
              <w:pStyle w:val="TableContents"/>
              <w:bidi w:val="0"/>
              <w:spacing w:before="0" w:after="283"/>
              <w:jc w:val="left"/>
              <w:rPr/>
            </w:pPr>
            <w:r>
              <w:rPr/>
              <w:t> </w:t>
            </w:r>
          </w:p>
        </w:tc>
        <w:tc>
          <w:tcPr>
            <w:tcW w:w="121" w:type="dxa"/>
            <w:tcBorders>
              <w:bottom w:val="single" w:sz="2" w:space="0" w:color="7F7F7F"/>
            </w:tcBorders>
            <w:tcMar>
              <w:bottom w:w="28" w:type="dxa"/>
            </w:tcMar>
            <w:vAlign w:val="bottom"/>
          </w:tcPr>
          <w:p>
            <w:pPr>
              <w:pStyle w:val="TableContents"/>
              <w:bidi w:val="0"/>
              <w:spacing w:before="0" w:after="283"/>
              <w:jc w:val="left"/>
              <w:rPr/>
            </w:pPr>
            <w:r>
              <w:rPr/>
              <w:t>  </w:t>
            </w:r>
          </w:p>
        </w:tc>
        <w:tc>
          <w:tcPr>
            <w:tcW w:w="486" w:type="dxa"/>
            <w:tcBorders>
              <w:bottom w:val="single" w:sz="2" w:space="0" w:color="7F7F7F"/>
            </w:tcBorders>
            <w:tcMar>
              <w:bottom w:w="28" w:type="dxa"/>
            </w:tcMar>
            <w:vAlign w:val="bottom"/>
          </w:tcPr>
          <w:p>
            <w:pPr>
              <w:pStyle w:val="TableContents"/>
              <w:bidi w:val="0"/>
              <w:spacing w:before="0" w:after="283"/>
              <w:jc w:val="left"/>
              <w:rPr/>
            </w:pPr>
            <w:r>
              <w:rPr/>
              <w:t> </w:t>
            </w:r>
          </w:p>
        </w:tc>
        <w:tc>
          <w:tcPr>
            <w:tcW w:w="121" w:type="dxa"/>
            <w:tcBorders>
              <w:bottom w:val="single" w:sz="2" w:space="0" w:color="7F7F7F"/>
            </w:tcBorders>
            <w:tcMar>
              <w:bottom w:w="28" w:type="dxa"/>
            </w:tcMar>
            <w:vAlign w:val="bottom"/>
          </w:tcPr>
          <w:p>
            <w:pPr>
              <w:pStyle w:val="TableContents"/>
              <w:bidi w:val="0"/>
              <w:spacing w:before="0" w:after="283"/>
              <w:jc w:val="left"/>
              <w:rPr/>
            </w:pPr>
            <w:r>
              <w:rPr/>
              <w:t>  </w:t>
            </w:r>
          </w:p>
        </w:tc>
        <w:tc>
          <w:tcPr>
            <w:tcW w:w="4274" w:type="dxa"/>
            <w:tcBorders>
              <w:bottom w:val="single" w:sz="2" w:space="0" w:color="7F7F7F"/>
            </w:tcBorders>
            <w:tcMar>
              <w:bottom w:w="28" w:type="dxa"/>
            </w:tcMar>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is being furnished to you for your submission to the Commission as an exhibit to the Registration Statement. We hereby consent to the filing of this opinion as an exhibit to the Registration Statement and to the use of the name of our firm therein in the section entitled “Legal Matters” in the Prospectus. In giving this consent, we do not admit that we are within the category of persons whose consent is required by Section 7 of the Securities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Venable LLP</w:t>
            </w:r>
          </w:p>
        </w:tc>
      </w:tr>
    </w:tbl>
    <w:p>
      <w:pPr>
        <w:pStyle w:val="TextBody"/>
        <w:bidi w:val="0"/>
        <w:spacing w:before="0" w:after="0"/>
        <w:jc w:val="right"/>
        <w:rPr>
          <w:rFonts w:ascii="Times New Roman" w:hAnsi="Times New Roman"/>
          <w:b/>
          <w:sz w:val="20"/>
        </w:rPr>
      </w:pPr>
      <w:bookmarkStart w:id="30" w:name="d158325dex52.htm"/>
      <w:bookmarkStart w:id="31" w:name="ksd158325dex52"/>
      <w:bookmarkEnd w:id="30"/>
      <w:bookmarkEnd w:id="31"/>
      <w:r>
        <w:rPr>
          <w:rFonts w:ascii="Times New Roman" w:hAnsi="Times New Roman"/>
          <w:b/>
          <w:sz w:val="20"/>
        </w:rPr>
        <w:t xml:space="preserve">Exhibit 5.2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[Goodwin Procter LLP Letterhead] </w:t>
      </w:r>
    </w:p>
    <w:p>
      <w:pPr>
        <w:pStyle w:val="TextBody"/>
        <w:bidi w:val="0"/>
        <w:spacing w:before="240" w:after="0"/>
        <w:jc w:val="center"/>
        <w:rPr>
          <w:rFonts w:ascii="Times New Roman" w:hAnsi="Times New Roman"/>
          <w:sz w:val="20"/>
        </w:rPr>
      </w:pPr>
      <w:r>
        <w:rPr>
          <w:rFonts w:ascii="Times New Roman" w:hAnsi="Times New Roman"/>
          <w:sz w:val="20"/>
        </w:rPr>
        <w:t xml:space="preserve">August 5, 2026 </w:t>
      </w:r>
    </w:p>
    <w:p>
      <w:pPr>
        <w:pStyle w:val="TextBody"/>
        <w:bidi w:val="0"/>
        <w:spacing w:before="24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401 Wilshire Boulevard, Suite 700 </w:t>
      </w:r>
    </w:p>
    <w:p>
      <w:pPr>
        <w:pStyle w:val="TextBody"/>
        <w:bidi w:val="0"/>
        <w:spacing w:before="0" w:after="0"/>
        <w:jc w:val="left"/>
        <w:rPr>
          <w:rFonts w:ascii="Times New Roman" w:hAnsi="Times New Roman"/>
          <w:sz w:val="20"/>
        </w:rPr>
      </w:pPr>
      <w:r>
        <w:rPr>
          <w:rFonts w:ascii="Times New Roman" w:hAnsi="Times New Roman"/>
          <w:sz w:val="20"/>
        </w:rPr>
        <w:t xml:space="preserve">Santa Monica, California 90401 </w:t>
      </w:r>
    </w:p>
    <w:p>
      <w:pPr>
        <w:pStyle w:val="TextBody"/>
        <w:bidi w:val="0"/>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Securities Being Registered under Registration Statement on Form S-3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counsel to you in connection with your filing of a Registration Statement on Form S-3 (as amended or supplemented, the “Registration Statement”) filed as of the date hereof with the Securities and Exchange Commission pursuant to the Securities Act of 1933, as amended (the “Securities Act”), relating to the registration of (i) common stock, par value $0.01 per share (the “Common Stock”), of The Macerich Company, a Maryland corporation (the “Company”), (ii) the Company’s preferred stock, par value $0.01 per share (the “Preferred Stock”), which may be issued as such or in the form of depositary shares (the “Depositary Shares”) evidenced by depositary receipts issued against deposit of shares of Preferred Stock pursuant to a deposit agreement to be entered into between the Company and a bank or trust company selected by the Company (the “Depositary”), (iii) the Company’s debt securities (the “Debt Securities”), (iv) warrants to purchase Common Stock, Preferred Stock, or Debt Securities (the “Warrants”), (v) stock purchase contracts of the Company (the “Stock Purchase Contracts”), obligating the holders thereof to purchase from or sell to the Company, or the Company to sell to or purchase from such holders, Common Stock, Preferred Stock or Depositary Shares at a future date or dates, (vi) rights to purchase Common Stock, Preferred Stock or Debt Securities (the “Rights”), and (vii) units representing a combination of any of the foregoing (the “Units”). The Common Stock, Preferred Stock, Depositary Shares, Debt Securities, Warrants, Stock Purchase Contracts, Rights and Units are sometimes referred to collectively herein as the “Securities.” Securities may be issued in an unspecified number (with respect to Common Stock, Preferred Stock, Depositary Shares, Warrants, Rights, Stock Purchase Contracts and Units) or in an unspecified principal amount (with respect to Debt Securities). The Registration Statement provides that the Securities may be offered separately, together or as units, in separate classes or series, in amounts, at prices and on terms to be set forth in one or more prospectus supplements to the prospectus contained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opinions set forth below are limited to the law of New York and the federal law of the United States. Without limiting the generality of the foregoing, we express no opinion with respect to (i) state securities or “blue sky” laws, or (ii) state or federal antitrust laws.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purposes of the opinions set forth below, without limiting any other exceptions or qualifications set forth herein, we have assumed that each of the Debt Securities, Warrants, Rights, Units, and Stock Purchase Contracts, and the indentures, warrant agreements, rights agreements, unit agreements and other agreements governing Securities offered pursuant to the Registration Statement will be governed by the internal law of New York.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opinions set forth below, we refer to the following as the “Future Approval and Issuance” of the Debt Securities, Warrants, Depositary Shares, Rights, Stock Purchase Contracts and Units: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of the Debt Securities, Warrants, Depositary Shares, Rights, Stock Purchase Contracts and Units, (a) the approval by the Company of the amount, terms and issuance of such Securities (the “Approval”) and (b) the issuance of such Securities in accordance with the Approval upon the receipt by the Company of the consideration to be paid in accordance with the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Debt Securities, (a) the approval, execution and delivery of the indenture or a supplemental indenture relating to such Securities by each of the Company and the trustee thereunder, (b) the establishment of the terms of such Securities by the Company in conformity with the applicable indenture or supplemental indenture and applicable law, and (c) the execution, authentication and issuance of such Securities in accordance with the applicable indenture or supplemental indenture and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Warrants, Stock Purchase Contracts, Rights or Units, (a) the approval, execution and delivery by the Company and any other parties thereto of any agreement under which such Securities are to be issued, (b) the establishment of the terms of such Securities, and (c) the issuance of such Securities in conformity with those terms, the terms of any applicable agreement and applicable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Depositary Shares, (a) the approval, execution and delivery by the Company and the Depositary of the deposit agreement under which such Depositary Shares are to be issued, (b) the establishment of the terms of such Depositary Shares by the Company in conformity with the deposit agreement and applicable law, (c) the approval, issuance and delivery to the Depositary of the shares of Preferred Stock represented by the Depositary Shares in accordance with the Company’s Articles of Amendment and Restatement, as amended, corrected and supplemented and then in effect, and applicable law and (d) the execution, countersignature and issuance of depositary receipts evidencing the Depositary Shares in accordance with the deposit agreement and applicable law.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Based upon the foregoing, and subject to the additional qualifications set forth below, we are of the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Upon the Future Approval and Issuance of Debt Securities, such Debt Securities will be valid and binding obligations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2. Upon the Future Approval and Issuance of Warrants, such Warrants will be valid and binding obligations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3. Upon the Future Approval and Issuance of Depositary Shares, such Depositary Shares will be validly issued and will entitle the holders thereof to the rights specified in such Depositary Shares and the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4. Upon the Future Approval and Issuance of Stock Purchase Contracts, such Stock Purchase Contracts will be valid and binding obligations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5. Upon the Future Approval and Issuance of Rights, such Rights will be valid and binding obligations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6. Upon the Future Approval and Issuance of Units, such Units will be valid and binding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opinions expressed above are subject to the following additional qualifications: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opinions expressed above are subject to bankruptcy, insolvency, fraudulent transfer, reorganization, moratorium and other similar laws of general application affecting the rights and remedies of creditors and to general principles of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express no opinion with respect to any provision of any documents setting forth terms relating to the Debt Securities, Warrants, Stock Purchase Contracts, Rights and Units (collectively, the “Subject Documents”) relating to: (a) non-reliance, exculpation, limitation of liability, indemnification, contribution, limitation or exclusion of remedies, disclaimers or waivers (including, without limitation, the waiver by any party of the right to trial by jury and the waiver of usury, stay, extension and other laws), and other provisions, however expressed, altering or eliminating the rights, liabilities, or remedies a party otherwise would have; (b) liquidated damages, forfeitures, default interest, late charges, make-whole premiums, payment of attorneys’ fees, collection upon acceleration of amounts that might be determined to constitute unearned interest thereon, or other economic remedies, in each case to the extent it constitutes a penalty or is prohibited by law; (c) concepts of materiality, reasonableness, good faith, fair dealing or unconscionability; (d) governing law (except for the enforceability of any provision choosing New York law as a Subject Document’s governing law pursuant to the statutes referred to in paragraph iii below); (e) rights or remedies not being exclusive, not preventing the concurrent assertion of any other right or remedy, being cumulative and exercisable in addition to any other right and remedy, or any delay or omission to exercise any right or remedy not impairing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any right or remedy or not constituting a waiver thereof; (f) any obligation or agreement to use best efforts, reasonable best efforts or commercially reasonable efforts; (g) any requirement that a party take further action or enter into further agreements or instruments or provide further assurances; (h) any requirement that amendments or waivers be in writing insofar as they suggest that oral or other modifications, amendments or waivers could not be effectively agreed upon by the parties or that the doctrine of promissory estoppel might not apply; (i) service of process by any method not provided for under applicable statute or court rule; and (j) the severability of any provisions to the foregoing effect to the extent such provisions are unenforceable.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any opinion set forth herein relates to the enforceability of choice of New York law, choice of New York forum or exclusive jurisdiction provisions in any of the Subject Documents, that opinion is rendered solely in reliance upon N.Y. Gen. Oblig. Law §§ 5-1401, 5-1402 (McKinney 2010) and N.Y. CPLR 327(b) (McKinney 2010) and is subject to the qualification that such enforceability may be limited by public policy or other considerations of any jurisdiction, other than the State of New York, in which enforcement of such provisions, or of a judgment upon an agreement containing such provisions, is sought and by constitutional limitations. With respect to waiving any objection to venue, our opinions are qualified in their entirety by N.Y. CPLR 510 (McKinney 2010). We call to your attention that courts of the State of New York, or federal courts of the United States of America located in New York, could decline to hear a case on grounds of </w:t>
            </w:r>
            <w:r>
              <w:rPr>
                <w:rFonts w:ascii="Times New Roman" w:hAnsi="Times New Roman"/>
                <w:i/>
                <w:sz w:val="20"/>
              </w:rPr>
              <w:t>forum non conveniens</w:t>
            </w:r>
            <w:r>
              <w:rPr>
                <w:rFonts w:ascii="Times New Roman" w:hAnsi="Times New Roman"/>
                <w:sz w:val="20"/>
              </w:rPr>
              <w:t xml:space="preserve"> or similar doctrines limiting the availability of such courts as a forum for the resolution of disputes, irrespective of any agreement between the parties concerning jurisdiction. We express no opinion as to (a) any waiver of objections based on inconvenient forum or (b) venue or the subject matter jurisdiction of the federal courts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opinions set forth above do not cover, without limitation, the following: the Defense Production Act of 1950, as amended, and the Foreign Investment Risk Review Modernization Act of 2018, including all implementing regulations thereunder; banking, tax, antitrust, trade regulation, anti-fraud or unfair competition laws; insolvency or fraudulent transfer; compliance with fiduciary duty requirements; pension or employee benefits; environmental or energy laws; Financial Industry Regulatory rules; stock exchange rules; consumer protection laws; utilities laws; foreign trade, national security, anti-terrorism, anti-money laundering laws; laws regulating derivatives, investment and brokerage services; or other laws customarily understood to be excluded even though they are not expressly stated to be excluded, except to the extent expressly covered.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opinion letter and the opinions it contains shall be interpreted in accordance with the Core Opinion Principles as published in 74 </w:t>
      </w:r>
      <w:r>
        <w:rPr>
          <w:rFonts w:ascii="Times New Roman" w:hAnsi="Times New Roman"/>
          <w:i/>
          <w:sz w:val="20"/>
        </w:rPr>
        <w:t>Business Lawyer</w:t>
      </w:r>
      <w:r>
        <w:rPr>
          <w:rFonts w:ascii="Times New Roman" w:hAnsi="Times New Roman"/>
          <w:sz w:val="20"/>
        </w:rPr>
        <w:t xml:space="preserve"> 815 (Summer 2019).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hereby consent to the inclusion of this opinion as Exhibit 5.2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w:t>
            </w:r>
            <w:r>
              <w:rPr>
                <w:sz w:val="20"/>
              </w:rPr>
              <w:t>S</w:t>
            </w:r>
            <w:r>
              <w:rPr/>
              <w:t>/ GOODWIN PROCTER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GOODWIN PROCTER LLP</w:t>
            </w:r>
          </w:p>
        </w:tc>
      </w:tr>
    </w:tbl>
    <w:p>
      <w:pPr>
        <w:pStyle w:val="TextBody"/>
        <w:bidi w:val="0"/>
        <w:spacing w:before="0" w:after="0"/>
        <w:jc w:val="right"/>
        <w:rPr>
          <w:rFonts w:ascii="Times New Roman" w:hAnsi="Times New Roman"/>
          <w:b/>
          <w:sz w:val="20"/>
        </w:rPr>
      </w:pPr>
      <w:bookmarkStart w:id="32" w:name="d158325dex81.htm"/>
      <w:bookmarkStart w:id="33" w:name="ksd158325dex81"/>
      <w:bookmarkEnd w:id="32"/>
      <w:bookmarkEnd w:id="33"/>
      <w:r>
        <w:rPr>
          <w:rFonts w:ascii="Times New Roman" w:hAnsi="Times New Roman"/>
          <w:b/>
          <w:sz w:val="20"/>
        </w:rPr>
        <w:t xml:space="preserve">Exhibit 8.1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[Goodwin Procter LLP Letterhead] </w:t>
      </w:r>
    </w:p>
    <w:p>
      <w:pPr>
        <w:pStyle w:val="TextBody"/>
        <w:bidi w:val="0"/>
        <w:spacing w:before="240" w:after="0"/>
        <w:jc w:val="center"/>
        <w:rPr>
          <w:rFonts w:ascii="Times New Roman" w:hAnsi="Times New Roman"/>
          <w:sz w:val="20"/>
        </w:rPr>
      </w:pPr>
      <w:r>
        <w:rPr>
          <w:rFonts w:ascii="Times New Roman" w:hAnsi="Times New Roman"/>
          <w:sz w:val="20"/>
        </w:rPr>
        <w:t xml:space="preserve">August 5, 2026 </w:t>
      </w:r>
    </w:p>
    <w:p>
      <w:pPr>
        <w:pStyle w:val="TextBody"/>
        <w:bidi w:val="0"/>
        <w:spacing w:before="24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401 Wilshire Boulevard, Suite 700 </w:t>
      </w:r>
    </w:p>
    <w:p>
      <w:pPr>
        <w:pStyle w:val="TextBody"/>
        <w:bidi w:val="0"/>
        <w:spacing w:before="0" w:after="0"/>
        <w:jc w:val="left"/>
        <w:rPr>
          <w:rFonts w:ascii="Times New Roman" w:hAnsi="Times New Roman"/>
          <w:sz w:val="20"/>
        </w:rPr>
      </w:pPr>
      <w:r>
        <w:rPr>
          <w:rFonts w:ascii="Times New Roman" w:hAnsi="Times New Roman"/>
          <w:sz w:val="20"/>
        </w:rPr>
        <w:t xml:space="preserve">Santa Monica, California 90401 </w:t>
      </w:r>
    </w:p>
    <w:p>
      <w:pPr>
        <w:pStyle w:val="TextBody"/>
        <w:bidi w:val="0"/>
        <w:spacing w:before="240" w:after="0"/>
        <w:jc w:val="left"/>
        <w:rPr>
          <w:rFonts w:ascii="Times New Roman" w:hAnsi="Times New Roman"/>
          <w:sz w:val="20"/>
        </w:rPr>
      </w:pPr>
      <w:r>
        <w:rPr>
          <w:rFonts w:ascii="Times New Roman" w:hAnsi="Times New Roman"/>
          <w:sz w:val="20"/>
        </w:rPr>
        <w:t>We have acted as counsel to you in connection with your filing of a Registration Statement on Form S-3 (as amended or supplemented, the “</w:t>
      </w:r>
      <w:r>
        <w:rPr>
          <w:rFonts w:ascii="Times New Roman" w:hAnsi="Times New Roman"/>
          <w:sz w:val="20"/>
          <w:u w:val="single"/>
        </w:rPr>
        <w:t>Registration Statement</w:t>
      </w:r>
      <w:r>
        <w:rPr>
          <w:rFonts w:ascii="Times New Roman" w:hAnsi="Times New Roman"/>
          <w:sz w:val="20"/>
        </w:rPr>
        <w:t>”) filed as of the date hereof with the Securities and Exchange Commission pursuant to the Securities Act of 1933, as amended (the “</w:t>
      </w:r>
      <w:r>
        <w:rPr>
          <w:rFonts w:ascii="Times New Roman" w:hAnsi="Times New Roman"/>
          <w:sz w:val="20"/>
          <w:u w:val="single"/>
        </w:rPr>
        <w:t>Securities Act</w:t>
      </w:r>
      <w:r>
        <w:rPr>
          <w:rFonts w:ascii="Times New Roman" w:hAnsi="Times New Roman"/>
          <w:sz w:val="20"/>
        </w:rPr>
        <w:t>”), relating to the registration of (i) the common stock, par value $0.01 per share (the “</w:t>
      </w:r>
      <w:r>
        <w:rPr>
          <w:rFonts w:ascii="Times New Roman" w:hAnsi="Times New Roman"/>
          <w:sz w:val="20"/>
          <w:u w:val="single"/>
        </w:rPr>
        <w:t>Common Stock</w:t>
      </w:r>
      <w:r>
        <w:rPr>
          <w:rFonts w:ascii="Times New Roman" w:hAnsi="Times New Roman"/>
          <w:sz w:val="20"/>
        </w:rPr>
        <w:t>”), of The Macerich Company, a Maryland corporation (the “</w:t>
      </w:r>
      <w:r>
        <w:rPr>
          <w:rFonts w:ascii="Times New Roman" w:hAnsi="Times New Roman"/>
          <w:sz w:val="20"/>
          <w:u w:val="single"/>
        </w:rPr>
        <w:t>Company</w:t>
      </w:r>
      <w:r>
        <w:rPr>
          <w:rFonts w:ascii="Times New Roman" w:hAnsi="Times New Roman"/>
          <w:sz w:val="20"/>
        </w:rPr>
        <w:t>”), (ii) the Company’s preferred stock, par value $0.01 per share (the “</w:t>
      </w:r>
      <w:r>
        <w:rPr>
          <w:rFonts w:ascii="Times New Roman" w:hAnsi="Times New Roman"/>
          <w:sz w:val="20"/>
          <w:u w:val="single"/>
        </w:rPr>
        <w:t>Preferred Stock</w:t>
      </w:r>
      <w:r>
        <w:rPr>
          <w:rFonts w:ascii="Times New Roman" w:hAnsi="Times New Roman"/>
          <w:sz w:val="20"/>
        </w:rPr>
        <w:t>”), which may be issued as such or in the form of depositary shares (the “</w:t>
      </w:r>
      <w:r>
        <w:rPr>
          <w:rFonts w:ascii="Times New Roman" w:hAnsi="Times New Roman"/>
          <w:sz w:val="20"/>
          <w:u w:val="single"/>
        </w:rPr>
        <w:t>Depositary Shares</w:t>
      </w:r>
      <w:r>
        <w:rPr>
          <w:rFonts w:ascii="Times New Roman" w:hAnsi="Times New Roman"/>
          <w:sz w:val="20"/>
        </w:rPr>
        <w:t>”) evidenced by depositary receipts issued against deposit of shares of Preferred Stock pursuant to a deposit agreement to be entered into between the Company and a bank or trust company selected by the Company, (iii) the Company’s debt securities (the “</w:t>
      </w:r>
      <w:r>
        <w:rPr>
          <w:rFonts w:ascii="Times New Roman" w:hAnsi="Times New Roman"/>
          <w:sz w:val="20"/>
          <w:u w:val="single"/>
        </w:rPr>
        <w:t>Debt Securities</w:t>
      </w:r>
      <w:r>
        <w:rPr>
          <w:rFonts w:ascii="Times New Roman" w:hAnsi="Times New Roman"/>
          <w:sz w:val="20"/>
        </w:rPr>
        <w:t xml:space="preserve">”), (iv) warrants to purchase Common Stock, Preferred Stock, or Debt Securities, (v) stock purchase contracts of the Company, obligating the holders thereof to purchase from or sell to the Company, or the Company to sell to or purchase from such holders, Common Stock, Preferred Stock or Depositary Shares at a future date or dates, (vi) rights to purchase Common Stock, Preferred Stock or Debt Securities, and (vii) units representing a combination of any of the foregoing. </w:t>
      </w:r>
    </w:p>
    <w:p>
      <w:pPr>
        <w:pStyle w:val="TextBody"/>
        <w:bidi w:val="0"/>
        <w:spacing w:before="240" w:after="0"/>
        <w:jc w:val="left"/>
        <w:rPr>
          <w:rFonts w:ascii="Times New Roman" w:hAnsi="Times New Roman"/>
          <w:sz w:val="20"/>
        </w:rPr>
      </w:pPr>
      <w:r>
        <w:rPr>
          <w:rFonts w:ascii="Times New Roman" w:hAnsi="Times New Roman"/>
          <w:sz w:val="20"/>
        </w:rPr>
        <w:t>We are furnishing this opinion letter to you in connection with your filing of the Registration Statement for inclusion as Exhibit 8.1 to such Registration Statement. This opinion letter relates to the Company’s qualification for U.S. federal income tax purposes as a real estate investment trust (a “</w:t>
      </w:r>
      <w:r>
        <w:rPr>
          <w:rFonts w:ascii="Times New Roman" w:hAnsi="Times New Roman"/>
          <w:sz w:val="20"/>
          <w:u w:val="single"/>
        </w:rPr>
        <w:t>REIT</w:t>
      </w:r>
      <w:r>
        <w:rPr>
          <w:rFonts w:ascii="Times New Roman" w:hAnsi="Times New Roman"/>
          <w:sz w:val="20"/>
        </w:rPr>
        <w:t>”) under the Internal Revenue Code of 1986, as amended (the “</w:t>
      </w:r>
      <w:r>
        <w:rPr>
          <w:rFonts w:ascii="Times New Roman" w:hAnsi="Times New Roman"/>
          <w:sz w:val="20"/>
          <w:u w:val="single"/>
        </w:rPr>
        <w:t>Code</w:t>
      </w:r>
      <w:r>
        <w:rPr>
          <w:rFonts w:ascii="Times New Roman" w:hAnsi="Times New Roman"/>
          <w:sz w:val="20"/>
        </w:rPr>
        <w:t xml:space="preserve">”), for taxable years commencing with the Company’s taxable year ended December 31, 2013, and the accuracy of certain matters discussed in the Registration Statement under the heading “Material United States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In rendering the following opinions, we have reviewed and relied upon the Articles of Amendment and Restatement of the Company, the Bylaws of the Company, and the Amended and Restated Limited Partnership Agreement of The Macerich Partnership, L.P., a Delaware limited partnership (the “</w:t>
      </w:r>
      <w:r>
        <w:rPr>
          <w:rFonts w:ascii="Times New Roman" w:hAnsi="Times New Roman"/>
          <w:sz w:val="20"/>
          <w:u w:val="single"/>
        </w:rPr>
        <w:t>Operating Partnership</w:t>
      </w:r>
      <w:r>
        <w:rPr>
          <w:rFonts w:ascii="Times New Roman" w:hAnsi="Times New Roman"/>
          <w:sz w:val="20"/>
        </w:rPr>
        <w:t>”), in each case as amended or amended and restated, and as in effect through the date hereof (the “</w:t>
      </w:r>
      <w:r>
        <w:rPr>
          <w:rFonts w:ascii="Times New Roman" w:hAnsi="Times New Roman"/>
          <w:sz w:val="20"/>
          <w:u w:val="single"/>
        </w:rPr>
        <w:t>Organizational Documents</w:t>
      </w:r>
      <w:r>
        <w:rPr>
          <w:rFonts w:ascii="Times New Roman" w:hAnsi="Times New Roman"/>
          <w:sz w:val="20"/>
        </w:rPr>
        <w:t xml:space="preserve">”). For purposes of this opinion letter, we have assumed (i) the genuineness of all signatures on documents we have examined, (ii) the authenticity of all documents submitted to us as originals, (iii) the conformity to the original documents of all documents submitted to us as copies, (iv)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2 of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conformity to the original documents of copies obtained by us from filings with the Securities and Exchange Commission, (v) the conformity, to the extent relevant to our opinions, of final documents to all documents submitted to us as drafts, (vi) the authority and capacity of the individual or individuals who executed any such documents on behalf of any person, (vii) due execution and delivery of all such documents by all the parties thereto, (viii) the compliance of each party with all material provisions of such documents, and (ix) the accuracy and completeness of all records made available to us. </w:t>
      </w:r>
    </w:p>
    <w:p>
      <w:pPr>
        <w:pStyle w:val="TextBody"/>
        <w:bidi w:val="0"/>
        <w:spacing w:before="240" w:after="0"/>
        <w:jc w:val="left"/>
        <w:rPr>
          <w:rFonts w:ascii="Times New Roman" w:hAnsi="Times New Roman"/>
          <w:sz w:val="20"/>
        </w:rPr>
      </w:pPr>
      <w:r>
        <w:rPr>
          <w:rFonts w:ascii="Times New Roman" w:hAnsi="Times New Roman"/>
          <w:sz w:val="20"/>
        </w:rPr>
        <w:t>We also have reviewed and relied upon the representations and covenants of the Company and the Operating Partnership contained in a letter that they provided to us in connection with the preparation of this opinion letter (the “</w:t>
      </w:r>
      <w:r>
        <w:rPr>
          <w:rFonts w:ascii="Times New Roman" w:hAnsi="Times New Roman"/>
          <w:sz w:val="20"/>
          <w:u w:val="single"/>
        </w:rPr>
        <w:t>REIT Certificate</w:t>
      </w:r>
      <w:r>
        <w:rPr>
          <w:rFonts w:ascii="Times New Roman" w:hAnsi="Times New Roman"/>
          <w:sz w:val="20"/>
        </w:rPr>
        <w:t xml:space="preserve">”) regarding the formation, organization, ownership and operations of the Company and the Operating Partnership, and other matters affecting the Company’s ability to qualify as a REIT. We assume that each of the representations and covenants in the REIT Certificate has been, is and will be true, correct and complete, that the Company and its subsidiaries have been, are and will be owned and operated in accordance with the REIT Certificate and that all representations and covenants that speak to the best of knowledge and belief (or mere knowledge and/or belief) of any person(s) or party(ies), or are subject to similar qualification, have been, are and will continue to be true, correct and complete as if made without such qualification. To the extent such representations and covenants speak to the intended ownership or operations of any entity, we assume that such entity will in fact be owned and operated in accordance with such stated intent.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limitations set forth herein,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Commencing with its taxable year ended December 31, 2013, the Company has been organized in conformity with the requirements for qualification and taxation as a REIT under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prior, current and proposed ownership, organization, distributions and method of operations as described in the REIT Certificate have allowed and will continue to allow the Company to satisfy the requirements for qualification and taxation as a REIT under the Code commencing with its taxable year ended December 31, 2013 and for subsequent years;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statements set forth under the heading “Material United States Federal Income Tax Considerations” in the Registration Statement, insofar as such statements describe applicable U.S. federal income tax law, are correct in all material respects.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* * * * *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3 of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We express no opinion other than the opinions expressly set forth herein. Our opinions are not binding on the Internal Revenue Service (the “</w:t>
      </w:r>
      <w:r>
        <w:rPr>
          <w:rFonts w:ascii="Times New Roman" w:hAnsi="Times New Roman"/>
          <w:sz w:val="20"/>
          <w:u w:val="single"/>
        </w:rPr>
        <w:t>IRS</w:t>
      </w:r>
      <w:r>
        <w:rPr>
          <w:rFonts w:ascii="Times New Roman" w:hAnsi="Times New Roman"/>
          <w:sz w:val="20"/>
        </w:rPr>
        <w:t xml:space="preserve">”) or a court. The IRS may disagree with and challenge our conclusions, and a court could sustain such a challenge. Our opinions are based upon the Code, the Income Tax Regulations and Procedure and Administration Regulations promulgated thereunder and existing administrative and judicial interpretations thereof (including the practices and policies of the IRS in issuing private letter rulings, which are not binding on the IRS except with respect to a taxpayer that receives such a ruling), all as in effect as of the date of this opinion letter or, to the extent different and relevant for a prior taxable year or other period, as in effect for the applicable taxable year or period. Changes in applicable law could cause the U.S. federal income tax treatment of the Company to differ materially and adversely from the treatment described herein and render the tax discussion in the Registration Statement incorrect or incomplete. </w:t>
      </w:r>
    </w:p>
    <w:p>
      <w:pPr>
        <w:pStyle w:val="TextBody"/>
        <w:bidi w:val="0"/>
        <w:spacing w:before="240" w:after="0"/>
        <w:jc w:val="left"/>
        <w:rPr>
          <w:rFonts w:ascii="Times New Roman" w:hAnsi="Times New Roman"/>
          <w:sz w:val="20"/>
        </w:rPr>
      </w:pPr>
      <w:r>
        <w:rPr>
          <w:rFonts w:ascii="Times New Roman" w:hAnsi="Times New Roman"/>
          <w:sz w:val="20"/>
        </w:rPr>
        <w:t xml:space="preserve">In rendering our opinions, we have relied solely on the Organizational Documents, the REIT Certificate, and the assumptions set forth herein. For purposes of our opinions, we have not investigated or verified the accuracy of any of the representations in the REIT Certificate or any of our assumptions set forth herein. We also have not investigated or verified the ability of the Company and its subsidiaries to operate in compliance with the REIT Certificate or our assumptions. Differences between the actual ownership and operations of such entities and the prior, proposed and intended ownership and operations described in the REIT Certificate or our assumptions could result in U.S. federal income tax treatment of the Company that differs materially and adversely from the treatment described herein. The Company’s actual qualification as a REIT depends on the Company meeting and having met, in its actual ownership and operations, the applicable asset composition, source of income, shareholder diversification, distribution and other requirements of the Code necessary for a corporation to qualify as a REIT. We have not monitored and will not monitor actual results and have not verified and will not verify the Company’s compliance with the requirements for qualification and taxation as a REIT, and no assurance can be given that the actual ownership and operations of the Company and its affiliates have satisfied or will satisfy those requirements. </w:t>
      </w:r>
    </w:p>
    <w:p>
      <w:pPr>
        <w:pStyle w:val="TextBody"/>
        <w:bidi w:val="0"/>
        <w:spacing w:before="240" w:after="0"/>
        <w:jc w:val="left"/>
        <w:rPr>
          <w:rFonts w:ascii="Times New Roman" w:hAnsi="Times New Roman"/>
          <w:sz w:val="20"/>
        </w:rPr>
      </w:pPr>
      <w:r>
        <w:rPr>
          <w:rFonts w:ascii="Times New Roman" w:hAnsi="Times New Roman"/>
          <w:sz w:val="20"/>
        </w:rPr>
        <w:t xml:space="preserve">Our opinions do not preclude the possibility that the Company may need to utilize one or more of the various “savings provisions” under the Code and the regulations thereunder that would permit the Company to cure certain violations of the requirements for qualification and taxation as a REIT. Utilizing such savings provisions could require the Company to pay significant penalty or excise taxes and/or interest charges and/or make additional distributions to shareholders that the Company otherwise would not make.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4 of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hereby consent to the inclusion of this opinion as Exhibit 8.1 to the Registration Statement and to the references to our firm under the heading “Material United States Federal Income Tax Considerations” in the Registration Statement. In giving our consent, we do not admit that we are in the category of persons whose consent is required under Section 7 of the Securities Act or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speaks only as of the date hereof, and we undertake no obligation to update this opinion letter or to notify any person of any changes in facts, circumstances or applicable law (including without limitation any discovery of any facts that are inconsistent with the REIT Certificate or our assumptions).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furnished to you solely for the inclusion of this opinion as Exhibit 8.1 to the Registration Statement and may not be used or otherwise relied upon for any other purpose (other than as required by law or by a governmental authority).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Goodwin Procter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Goodwin Procter LLP</w:t>
            </w:r>
          </w:p>
        </w:tc>
      </w:tr>
    </w:tbl>
    <w:p>
      <w:pPr>
        <w:pStyle w:val="TextBody"/>
        <w:bidi w:val="0"/>
        <w:spacing w:before="0" w:after="0"/>
        <w:jc w:val="right"/>
        <w:rPr>
          <w:rFonts w:ascii="Times New Roman" w:hAnsi="Times New Roman"/>
          <w:b/>
          <w:sz w:val="20"/>
        </w:rPr>
      </w:pPr>
      <w:bookmarkStart w:id="34" w:name="d158325dex231.htm"/>
      <w:bookmarkStart w:id="35" w:name="ksd158325dex231"/>
      <w:bookmarkEnd w:id="34"/>
      <w:bookmarkEnd w:id="35"/>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reports dated February 20, 2026, with respect to the consolidated financial statements of The Macerich Company, and the effectiveness of internal control over financial reporting, incorporated herein by reference and to the reference to our firm under the heading “Experts” in the prospectus.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 KPMG</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Los Angeles, California</w:t>
            </w:r>
          </w:p>
          <w:p>
            <w:pPr>
              <w:pStyle w:val="TableContents"/>
              <w:bidi w:val="0"/>
              <w:spacing w:before="0" w:after="20"/>
              <w:jc w:val="left"/>
              <w:rPr>
                <w:rFonts w:ascii="Times New Roman" w:hAnsi="Times New Roman"/>
                <w:sz w:val="20"/>
              </w:rPr>
            </w:pPr>
            <w:r>
              <w:rPr>
                <w:rFonts w:ascii="Times New Roman" w:hAnsi="Times New Roman"/>
                <w:sz w:val="20"/>
              </w:rPr>
              <w:t>August 5, 2026</w:t>
            </w:r>
          </w:p>
        </w:tc>
      </w:tr>
    </w:tbl>
    <w:p>
      <w:pPr>
        <w:pStyle w:val="Normal"/>
        <w:bidi w:val="0"/>
        <w:spacing w:before="0" w:after="0"/>
        <w:jc w:val="left"/>
        <w:rPr>
          <w:sz w:val="4"/>
          <w:szCs w:val="4"/>
        </w:rPr>
      </w:pPr>
      <w:r>
        <w:rPr>
          <w:sz w:val="4"/>
          <w:szCs w:val="4"/>
        </w:rPr>
      </w:r>
      <w:bookmarkStart w:id="36" w:name="d158325dexfilingfees.htm"/>
      <w:bookmarkStart w:id="37" w:name="ksd158325dexfilingfees"/>
      <w:bookmarkStart w:id="38" w:name="d158325dexfilingfees.htm"/>
      <w:bookmarkStart w:id="39" w:name="ksd158325dexfilingfees"/>
      <w:bookmarkEnd w:id="38"/>
      <w:bookmarkEnd w:id="39"/>
      <w:r>
        <w:br w:type="page"/>
      </w:r>
    </w:p>
    <w:tbl>
      <w:tblPr>
        <w:tblW w:w="3565" w:type="dxa"/>
        <w:jc w:val="left"/>
        <w:tblInd w:w="0" w:type="dxa"/>
        <w:tblLayout w:type="fixed"/>
        <w:tblCellMar>
          <w:top w:w="28" w:type="dxa"/>
          <w:left w:w="28" w:type="dxa"/>
          <w:bottom w:w="28" w:type="dxa"/>
          <w:right w:w="28" w:type="dxa"/>
        </w:tblCellMar>
      </w:tblPr>
      <w:tblGrid>
        <w:gridCol w:w="3411"/>
        <w:gridCol w:w="154"/>
      </w:tblGrid>
      <w:tr>
        <w:trPr/>
        <w:tc>
          <w:tcPr>
            <w:tcW w:w="356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1" w:type="dxa"/>
            <w:tcBorders/>
            <w:vAlign w:val="center"/>
          </w:tcPr>
          <w:p>
            <w:pPr>
              <w:pStyle w:val="TableContents"/>
              <w:bidi w:val="0"/>
              <w:spacing w:before="0" w:after="283"/>
              <w:jc w:val="left"/>
              <w:rPr>
                <w:b/>
              </w:rPr>
            </w:pPr>
            <w:r>
              <w:rPr>
                <w:b/>
              </w:rPr>
              <w:t xml:space="preserve">MACERICH CO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074" w:type="dxa"/>
        <w:jc w:val="left"/>
        <w:tblInd w:w="0" w:type="dxa"/>
        <w:tblLayout w:type="fixed"/>
        <w:tblCellMar>
          <w:top w:w="28" w:type="dxa"/>
          <w:left w:w="28" w:type="dxa"/>
          <w:bottom w:w="28" w:type="dxa"/>
          <w:right w:w="28" w:type="dxa"/>
        </w:tblCellMar>
      </w:tblPr>
      <w:tblGrid>
        <w:gridCol w:w="1126"/>
        <w:gridCol w:w="226"/>
        <w:gridCol w:w="946"/>
        <w:gridCol w:w="114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4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07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Preferred stock, par value $0.01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Depositary shares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Debt </w:t>
            </w:r>
          </w:p>
        </w:tc>
        <w:tc>
          <w:tcPr>
            <w:tcW w:w="114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Rights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7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Stock purchase contracts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8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4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07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4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40" w:name="MaxAggtOfferingPrice"/>
            <w:bookmarkEnd w:id="40"/>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1" w:name="TotalFeeAmt"/>
            <w:bookmarkEnd w:id="4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2" w:name="TotalPreviouslyPaidAmt"/>
            <w:bookmarkEnd w:id="4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3" w:name="TotalOffsetAmt"/>
            <w:bookmarkEnd w:id="4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4" w:name="NetFeeAmt"/>
            <w:bookmarkEnd w:id="4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7"/>
        <w:gridCol w:w="8706"/>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This registration statement registers an unspecified amount of securities of each class that may be offered from time to time in amounts and at offering prices to be determined. It also includes securities that may be issued on exercise, conversion or exchange of other securities with regard to which additional consideration may or may not be required. Pursuant to Rule 416(a) promulgated under the Securities Act of 1933, as amended (the "Securities Act"), this registration statement also covers such additional securities as may hereafter be offered or issued with respect to the shares registered hereby resulting from stock splits, stock dividends, recapitalizations or similar capital adjustments. In accordance with Rules 456(b) and 457(r) promulgated under the Securities Act, The Macerich Company (the "Company") is deferring the payment of all of the registration fees, except as described in notes (9) through (12) below.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3" w:type="dxa"/>
            <w:gridSpan w:val="2"/>
            <w:tcBorders/>
            <w:vAlign w:val="center"/>
          </w:tcPr>
          <w:p>
            <w:pPr>
              <w:pStyle w:val="TableContents"/>
              <w:bidi w:val="0"/>
              <w:spacing w:before="0" w:after="283"/>
              <w:jc w:val="left"/>
              <w:rPr/>
            </w:pPr>
            <w:r>
              <w:rPr/>
              <w:t xml:space="preserve">See note (1).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3" w:type="dxa"/>
            <w:gridSpan w:val="2"/>
            <w:tcBorders/>
            <w:vAlign w:val="center"/>
          </w:tcPr>
          <w:p>
            <w:pPr>
              <w:pStyle w:val="TableContents"/>
              <w:bidi w:val="0"/>
              <w:spacing w:before="0" w:after="283"/>
              <w:jc w:val="left"/>
              <w:rPr/>
            </w:pPr>
            <w:r>
              <w:rPr/>
              <w:t xml:space="preserve">See note (1). Each depositary share will represent an interest in a fractional share or multiple shares of preferred stock and will be evidenced by a depositary receipt.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3" w:type="dxa"/>
            <w:gridSpan w:val="2"/>
            <w:tcBorders/>
            <w:vAlign w:val="center"/>
          </w:tcPr>
          <w:p>
            <w:pPr>
              <w:pStyle w:val="TableContents"/>
              <w:bidi w:val="0"/>
              <w:spacing w:before="0" w:after="283"/>
              <w:jc w:val="left"/>
              <w:rPr/>
            </w:pPr>
            <w:r>
              <w:rPr/>
              <w:t xml:space="preserve">See note (1).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3" w:type="dxa"/>
            <w:gridSpan w:val="2"/>
            <w:tcBorders/>
            <w:vAlign w:val="center"/>
          </w:tcPr>
          <w:p>
            <w:pPr>
              <w:pStyle w:val="TableContents"/>
              <w:bidi w:val="0"/>
              <w:spacing w:before="0" w:after="283"/>
              <w:jc w:val="left"/>
              <w:rPr/>
            </w:pPr>
            <w:r>
              <w:rPr/>
              <w:t xml:space="preserve">See note (1).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3" w:type="dxa"/>
            <w:gridSpan w:val="2"/>
            <w:tcBorders/>
            <w:vAlign w:val="center"/>
          </w:tcPr>
          <w:p>
            <w:pPr>
              <w:pStyle w:val="TableContents"/>
              <w:bidi w:val="0"/>
              <w:spacing w:before="0" w:after="283"/>
              <w:jc w:val="left"/>
              <w:rPr/>
            </w:pPr>
            <w:r>
              <w:rPr/>
              <w:t xml:space="preserve">See note (1).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7</w:t>
            </w:r>
            <w:r>
              <w:rPr/>
              <w:t xml:space="preserve"> </w:t>
            </w:r>
          </w:p>
        </w:tc>
        <w:tc>
          <w:tcPr>
            <w:tcW w:w="10003" w:type="dxa"/>
            <w:gridSpan w:val="2"/>
            <w:tcBorders/>
            <w:vAlign w:val="center"/>
          </w:tcPr>
          <w:p>
            <w:pPr>
              <w:pStyle w:val="TableContents"/>
              <w:bidi w:val="0"/>
              <w:spacing w:before="0" w:after="283"/>
              <w:jc w:val="left"/>
              <w:rPr/>
            </w:pPr>
            <w:r>
              <w:rPr/>
              <w:t xml:space="preserve">See note (1).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8</w:t>
            </w:r>
            <w:r>
              <w:rPr/>
              <w:t xml:space="preserve"> </w:t>
            </w:r>
          </w:p>
        </w:tc>
        <w:tc>
          <w:tcPr>
            <w:tcW w:w="10003" w:type="dxa"/>
            <w:gridSpan w:val="2"/>
            <w:tcBorders/>
            <w:vAlign w:val="center"/>
          </w:tcPr>
          <w:p>
            <w:pPr>
              <w:pStyle w:val="TableContents"/>
              <w:bidi w:val="0"/>
              <w:spacing w:before="0" w:after="283"/>
              <w:jc w:val="left"/>
              <w:rPr/>
            </w:pPr>
            <w:r>
              <w:rPr/>
              <w:t xml:space="preserve">See note (1). Any securities registered hereunder may be sold separately or as units with other securities registered hereunder.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0912242/000091224226000016/mac-20251231.htm" TargetMode="External"/><Relationship Id="rId4" Type="http://schemas.openxmlformats.org/officeDocument/2006/relationships/hyperlink" Target="http://www.sec.gov/Archives/edgar/data/../../../ix?doc=/Archives/edgar/data/0000912242/000119312526170447/d61679ddef14a.htm" TargetMode="External"/><Relationship Id="rId5" Type="http://schemas.openxmlformats.org/officeDocument/2006/relationships/hyperlink" Target="http://www.sec.gov/Archives/edgar/data/../../../ix?doc=/Archives/edgar/data/0000912242/000091224226000024/mac-20260331.htm" TargetMode="External"/><Relationship Id="rId6" Type="http://schemas.openxmlformats.org/officeDocument/2006/relationships/hyperlink" Target="http://www.sec.gov/Archives/edgar/data/../../../ix?doc=/Archives/edgar/data/912242/000091224226000037/mac-20260630.htm" TargetMode="External"/><Relationship Id="rId7" Type="http://schemas.openxmlformats.org/officeDocument/2006/relationships/hyperlink" Target="http://www.sec.gov/Archives/edgar/data/../../../ix?doc=/Archives/edgar/data/0000912242/000119312526077466/d112967d8k.htm" TargetMode="External"/><Relationship Id="rId8" Type="http://schemas.openxmlformats.org/officeDocument/2006/relationships/hyperlink" Target="http://www.sec.gov/Archives/edgar/data/../../../ix?doc=/Archives/edgar/data/0000912242/000119312526221714/d32273d8k.htm" TargetMode="External"/><Relationship Id="rId9" Type="http://schemas.openxmlformats.org/officeDocument/2006/relationships/hyperlink" Target="http://www.sec.gov/Archives/edgar/data/../../../ix?doc=/Archives/edgar/data/0000912242/000119312526255466/d56685d8k.htm" TargetMode="External"/><Relationship Id="rId10" Type="http://schemas.openxmlformats.org/officeDocument/2006/relationships/hyperlink" Target="http://www.sec.gov/Archives/edgar/data/../../../ix?doc=/Archives/edgar/data/0000912242/000119312526274188/d130391d8k.htm" TargetMode="External"/><Relationship Id="rId11" Type="http://schemas.openxmlformats.org/officeDocument/2006/relationships/hyperlink" Target="http://www.sec.gov/Archives/edgar/data/../../../ix?doc=/Archives/edgar/data/0000912242/000119312526286956/d140674d8k.htm" TargetMode="External"/><Relationship Id="rId12" Type="http://schemas.openxmlformats.org/officeDocument/2006/relationships/hyperlink" Target="http://www.sec.gov/Archives/edgar/data/912242/000091224224000026/mac-20231231x10kex41.htm" TargetMode="External"/><Relationship Id="rId13" Type="http://schemas.openxmlformats.org/officeDocument/2006/relationships/hyperlink" Target="http://www.sec.gov/Archives/edgar/data/912242/0001047469-99-012492.txt" TargetMode="External"/><Relationship Id="rId14" Type="http://schemas.openxmlformats.org/officeDocument/2006/relationships/hyperlink" Target="http://www.sec.gov/Archives/edgar/data/912242/000091205702030706/a2086079zex-3_1.htm" TargetMode="External"/><Relationship Id="rId15" Type="http://schemas.openxmlformats.org/officeDocument/2006/relationships/hyperlink" Target="http://www.sec.gov/Archives/edgar/data/912242/000091205702021417/a2080342zex-4_6.htm" TargetMode="External"/><Relationship Id="rId16" Type="http://schemas.openxmlformats.org/officeDocument/2006/relationships/hyperlink" Target="http://www.sec.gov/Archives/edgar/data/912242/000104746909001981/a2189901zex-3_15.htm" TargetMode="External"/><Relationship Id="rId17" Type="http://schemas.openxmlformats.org/officeDocument/2006/relationships/hyperlink" Target="http://www.sec.gov/Archives/edgar/data/912242/000110465909008348/a09-5253_1ex3d1.htm" TargetMode="External"/><Relationship Id="rId18" Type="http://schemas.openxmlformats.org/officeDocument/2006/relationships/hyperlink" Target="http://www.sec.gov/Archives/edgar/data/912242/000104746909007391/a2193924zex-3_17.htm" TargetMode="External"/><Relationship Id="rId19" Type="http://schemas.openxmlformats.org/officeDocument/2006/relationships/hyperlink" Target="http://www.sec.gov/Archives/edgar/data/912242/000110465914043330/a14-14485_1ex3d1.htm" TargetMode="External"/><Relationship Id="rId20" Type="http://schemas.openxmlformats.org/officeDocument/2006/relationships/hyperlink" Target="http://www.sec.gov/Archives/edgar/data/912242/000110465915020412/a15-6870_1ex3d1.htm" TargetMode="External"/><Relationship Id="rId21" Type="http://schemas.openxmlformats.org/officeDocument/2006/relationships/hyperlink" Target="http://www.sec.gov/Archives/edgar/data/912242/000110465915020810/a15-6873_1ex3d1.htm" TargetMode="External"/><Relationship Id="rId22" Type="http://schemas.openxmlformats.org/officeDocument/2006/relationships/hyperlink" Target="http://www.sec.gov/Archives/edgar/data/912242/000110465915037228/a15-11185_1ex3d1.htm" TargetMode="External"/><Relationship Id="rId23" Type="http://schemas.openxmlformats.org/officeDocument/2006/relationships/hyperlink" Target="http://www.sec.gov/Archives/edgar/data/912242/000110465915042631/a15-13305_1ex3d1.htm" TargetMode="External"/><Relationship Id="rId24" Type="http://schemas.openxmlformats.org/officeDocument/2006/relationships/hyperlink" Target="http://www.sec.gov/Archives/edgar/data/912242/000119312519129272/d731295dex31.htm" TargetMode="External"/><Relationship Id="rId25" Type="http://schemas.openxmlformats.org/officeDocument/2006/relationships/hyperlink" Target="http://www.sec.gov/Archives/edgar/data/912242/000119312521182973/d417870dex31.htm" TargetMode="External"/><Relationship Id="rId26" Type="http://schemas.openxmlformats.org/officeDocument/2006/relationships/hyperlink" Target="http://www.sec.gov/Archives/edgar/data/912242/000119312523021287/d443019dex31.htm" TargetMode="External"/><Relationship Id="rId27" Type="http://schemas.openxmlformats.org/officeDocument/2006/relationships/hyperlink" Target="http://www.sec.gov/Archives/edgar/data/912242/0001047469-98-043332.txt" TargetMode="External"/><Relationship Id="rId28" Type="http://schemas.openxmlformats.org/officeDocument/2006/relationships/hyperlink" Target="http://www.sec.gov/Archives/edgar/data/912242/000104746903024203/a2114547zex-4_13.htm" TargetMode="External"/><Relationship Id="rId29" Type="http://schemas.openxmlformats.org/officeDocument/2006/relationships/image" Target="media/image2.jpeg"/><Relationship Id="rId30" Type="http://schemas.openxmlformats.org/officeDocument/2006/relationships/image" Target="media/image3.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175</Pages>
  <Words>104119</Words>
  <Characters>531084</Characters>
  <CharactersWithSpaces>636640</CharactersWithSpaces>
  <Paragraphs>5303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