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9476d8k.htm"/>
      <w:bookmarkStart w:id="1" w:name="ksd16947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THE MACERICH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caps/>
              </w:rPr>
            </w:pPr>
            <w:r>
              <w:rPr>
                <w:b/>
                <w:caps/>
              </w:rPr>
              <w:t>Maryland</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1-12504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95-4448705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401 Wilshire Boulevard, Suite 700, Santa Monica, California 90401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(310) 394-6000</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72"/>
        <w:gridCol w:w="60"/>
        <w:gridCol w:w="705"/>
        <w:gridCol w:w="60"/>
        <w:gridCol w:w="3008"/>
      </w:tblGrid>
      <w:tr>
        <w:trPr/>
        <w:tc>
          <w:tcPr>
            <w:tcW w:w="6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sz w:val="4"/>
                <w:szCs w:val="4"/>
              </w:rPr>
            </w:pPr>
            <w:r>
              <w:rPr>
                <w:sz w:val="4"/>
                <w:szCs w:val="4"/>
              </w:rPr>
            </w:r>
          </w:p>
        </w:tc>
      </w:tr>
      <w:tr>
        <w:trPr/>
        <w:tc>
          <w:tcPr>
            <w:tcW w:w="637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08"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372" w:type="dxa"/>
            <w:tcBorders/>
            <w:vAlign w:val="center"/>
          </w:tcPr>
          <w:p>
            <w:pPr>
              <w:pStyle w:val="TableContents"/>
              <w:bidi w:val="0"/>
              <w:spacing w:before="0" w:after="283"/>
              <w:jc w:val="center"/>
              <w:rPr/>
            </w:pPr>
            <w:r>
              <w:rPr/>
              <w:t>Common stock of The Macerich Company, $0.01 par value per share</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MAC</w:t>
            </w:r>
          </w:p>
        </w:tc>
        <w:tc>
          <w:tcPr>
            <w:tcW w:w="60" w:type="dxa"/>
            <w:tcBorders/>
            <w:vAlign w:val="center"/>
          </w:tcPr>
          <w:p>
            <w:pPr>
              <w:pStyle w:val="TableContents"/>
              <w:bidi w:val="0"/>
              <w:spacing w:before="0" w:after="283"/>
              <w:jc w:val="left"/>
              <w:rPr/>
            </w:pPr>
            <w:r>
              <w:rPr/>
              <w:t> </w:t>
            </w:r>
          </w:p>
        </w:tc>
        <w:tc>
          <w:tcPr>
            <w:tcW w:w="3008"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860" w:type="dxa"/>
        <w:jc w:val="left"/>
        <w:tblInd w:w="0" w:type="dxa"/>
        <w:tblLayout w:type="fixed"/>
        <w:tblCellMar>
          <w:top w:w="0" w:type="dxa"/>
          <w:left w:w="0" w:type="dxa"/>
          <w:bottom w:w="0" w:type="dxa"/>
          <w:right w:w="0" w:type="dxa"/>
        </w:tblCellMar>
      </w:tblPr>
      <w:tblGrid>
        <w:gridCol w:w="1205"/>
        <w:gridCol w:w="1655"/>
      </w:tblGrid>
      <w:tr>
        <w:trPr/>
        <w:tc>
          <w:tcPr>
            <w:tcW w:w="1205" w:type="dxa"/>
            <w:tcBorders/>
            <w:vAlign w:val="center"/>
          </w:tcPr>
          <w:p>
            <w:pPr>
              <w:pStyle w:val="TableContents"/>
              <w:bidi w:val="0"/>
              <w:spacing w:before="0" w:after="283"/>
              <w:jc w:val="left"/>
              <w:rPr>
                <w:b/>
              </w:rPr>
            </w:pPr>
            <w:r>
              <w:rPr>
                <w:b/>
              </w:rPr>
              <w:t>ITEM 8.01.</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On August 5, 2026, The Macerich Company (the “</w:t>
      </w:r>
      <w:r>
        <w:rPr>
          <w:rFonts w:ascii="Times New Roman" w:hAnsi="Times New Roman"/>
          <w:sz w:val="20"/>
          <w:u w:val="single"/>
        </w:rPr>
        <w:t>Company</w:t>
      </w:r>
      <w:r>
        <w:rPr>
          <w:rFonts w:ascii="Times New Roman" w:hAnsi="Times New Roman"/>
          <w:sz w:val="20"/>
        </w:rPr>
        <w:t>”) filed with the U.S. Securities and Exchange Commission (the “</w:t>
      </w:r>
      <w:r>
        <w:rPr>
          <w:rFonts w:ascii="Times New Roman" w:hAnsi="Times New Roman"/>
          <w:sz w:val="20"/>
          <w:u w:val="single"/>
        </w:rPr>
        <w:t>SEC</w:t>
      </w:r>
      <w:r>
        <w:rPr>
          <w:rFonts w:ascii="Times New Roman" w:hAnsi="Times New Roman"/>
          <w:sz w:val="20"/>
        </w:rPr>
        <w:t>”) an automatic shelf registration statement on Form S-3 (the “</w:t>
      </w:r>
      <w:r>
        <w:rPr>
          <w:rFonts w:ascii="Times New Roman" w:hAnsi="Times New Roman"/>
          <w:sz w:val="20"/>
          <w:u w:val="single"/>
        </w:rPr>
        <w:t>New Registration Statement</w:t>
      </w:r>
      <w:r>
        <w:rPr>
          <w:rFonts w:ascii="Times New Roman" w:hAnsi="Times New Roman"/>
          <w:sz w:val="20"/>
        </w:rPr>
        <w:t>”) to replace the Company’s existing automatic shelf registration statement on Form S-3 (No. 333-273707) filed with the SEC on August 4, 2023 (the “</w:t>
      </w:r>
      <w:r>
        <w:rPr>
          <w:rFonts w:ascii="Times New Roman" w:hAnsi="Times New Roman"/>
          <w:sz w:val="20"/>
          <w:u w:val="single"/>
        </w:rPr>
        <w:t>Prior Registration Statement</w:t>
      </w:r>
      <w:r>
        <w:rPr>
          <w:rFonts w:ascii="Times New Roman" w:hAnsi="Times New Roman"/>
          <w:sz w:val="20"/>
        </w:rPr>
        <w:t xml:space="preserve">”), which expired on August 4, 2026 pursuant to Rule 415(a)(5) under the Securities Act of 1933, as amended.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Continued Offerings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filing of the New Registration Statement, the Company also filed four prospectus supplements that will continue offerings that were previously covered by prospectus supplements and the accompanying prospectus to the Prior Registration Statement relating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(a)</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offer and sale, from time to time, of shares of common stock, par value $0.01 per share (the “</w:t>
            </w:r>
            <w:r>
              <w:rPr>
                <w:rFonts w:ascii="Times New Roman" w:hAnsi="Times New Roman"/>
                <w:sz w:val="20"/>
                <w:u w:val="single"/>
              </w:rPr>
              <w:t>Common Stock</w:t>
            </w:r>
            <w:r>
              <w:rPr>
                <w:rFonts w:ascii="Times New Roman" w:hAnsi="Times New Roman"/>
                <w:sz w:val="20"/>
              </w:rPr>
              <w:t>”), having an aggregate offering price of up to $500,000,000 pursuant to the terms of the Amended Equity Distribution Agreement (as defined herein) relating to the Company’s existing “at the market” offering program (the “</w:t>
            </w:r>
            <w:r>
              <w:rPr>
                <w:rFonts w:ascii="Times New Roman" w:hAnsi="Times New Roman"/>
                <w:sz w:val="20"/>
                <w:u w:val="single"/>
              </w:rPr>
              <w:t>ATM Prospectus Supplement</w:t>
            </w:r>
            <w:r>
              <w:rPr>
                <w:rFonts w:ascii="Times New Roman" w:hAnsi="Times New Roman"/>
                <w:sz w:val="20"/>
              </w:rPr>
              <w:t>”), of which, as of the date of the ATM Prospectus Supplement, shares of Common Stock having an aggregate offering price of $211,500,207 have been sold and shares of Common Stock having an aggregate offering price up to $288,499,793 remain available for offer and sale under such program (the “</w:t>
            </w:r>
            <w:r>
              <w:rPr>
                <w:rFonts w:ascii="Times New Roman" w:hAnsi="Times New Roman"/>
                <w:sz w:val="20"/>
                <w:u w:val="single"/>
              </w:rPr>
              <w:t>ATM Program</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issuance of up to an aggregate of 122,595 shares of Common Stock that may be issued to holders of (i) common units (“</w:t>
            </w:r>
            <w:r>
              <w:rPr>
                <w:rFonts w:ascii="Times New Roman" w:hAnsi="Times New Roman"/>
                <w:sz w:val="20"/>
                <w:u w:val="single"/>
              </w:rPr>
              <w:t>MACWH Units</w:t>
            </w:r>
            <w:r>
              <w:rPr>
                <w:rFonts w:ascii="Times New Roman" w:hAnsi="Times New Roman"/>
                <w:sz w:val="20"/>
              </w:rPr>
              <w:t>”) of limited partnership interest in MACWH, LP, a Delaware limited partnership (“</w:t>
            </w:r>
            <w:r>
              <w:rPr>
                <w:rFonts w:ascii="Times New Roman" w:hAnsi="Times New Roman"/>
                <w:sz w:val="20"/>
                <w:u w:val="single"/>
              </w:rPr>
              <w:t>MACWH</w:t>
            </w:r>
            <w:r>
              <w:rPr>
                <w:rFonts w:ascii="Times New Roman" w:hAnsi="Times New Roman"/>
                <w:sz w:val="20"/>
              </w:rPr>
              <w:t>”), and those MACWH Units that may be issued in the future upon conversion of the Class A convertible preferred units (“</w:t>
            </w:r>
            <w:r>
              <w:rPr>
                <w:rFonts w:ascii="Times New Roman" w:hAnsi="Times New Roman"/>
                <w:sz w:val="20"/>
                <w:u w:val="single"/>
              </w:rPr>
              <w:t>MACWH CPUs</w:t>
            </w:r>
            <w:r>
              <w:rPr>
                <w:rFonts w:ascii="Times New Roman" w:hAnsi="Times New Roman"/>
                <w:sz w:val="20"/>
              </w:rPr>
              <w:t>”) of limited partnership interest in MACWH, upon tender of those MACWH Units for redemption; (ii) MACWH CPUs, upon tender of those MACWH CPUs for redemption; (iii) common units (“</w:t>
            </w:r>
            <w:r>
              <w:rPr>
                <w:rFonts w:ascii="Times New Roman" w:hAnsi="Times New Roman"/>
                <w:sz w:val="20"/>
                <w:u w:val="single"/>
              </w:rPr>
              <w:t>OP Units</w:t>
            </w:r>
            <w:r>
              <w:rPr>
                <w:rFonts w:ascii="Times New Roman" w:hAnsi="Times New Roman"/>
                <w:sz w:val="20"/>
              </w:rPr>
              <w:t>”) of limited partnership interest in The Macerich Partnership, L.P., a Delaware limited partnership (the “</w:t>
            </w:r>
            <w:r>
              <w:rPr>
                <w:rFonts w:ascii="Times New Roman" w:hAnsi="Times New Roman"/>
                <w:sz w:val="20"/>
                <w:u w:val="single"/>
              </w:rPr>
              <w:t>Operating Partnership</w:t>
            </w:r>
            <w:r>
              <w:rPr>
                <w:rFonts w:ascii="Times New Roman" w:hAnsi="Times New Roman"/>
                <w:sz w:val="20"/>
              </w:rPr>
              <w:t>”), issued upon conversion of Series D preferred units of limited partnership interest in the Operating Partnership (the “</w:t>
            </w:r>
            <w:r>
              <w:rPr>
                <w:rFonts w:ascii="Times New Roman" w:hAnsi="Times New Roman"/>
                <w:sz w:val="20"/>
                <w:u w:val="single"/>
              </w:rPr>
              <w:t>Series D Preferred Units</w:t>
            </w:r>
            <w:r>
              <w:rPr>
                <w:rFonts w:ascii="Times New Roman" w:hAnsi="Times New Roman"/>
                <w:sz w:val="20"/>
              </w:rPr>
              <w:t>”), upon tender of those OP Units for redemption; and (iv) MACWH Units, MACWH CPUs and Series D Preferred Units as a result of adjustments made to the conversion ratio or factor of those units (the “</w:t>
            </w:r>
            <w:r>
              <w:rPr>
                <w:rFonts w:ascii="Times New Roman" w:hAnsi="Times New Roman"/>
                <w:sz w:val="20"/>
                <w:u w:val="single"/>
              </w:rPr>
              <w:t>MACWH Prospectus Supplement</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(c)</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issuance of up to 148,305 shares of Common Stock that may be issued upon redemption of OP Units distributed to holders of OP Units and long term incentive plan units of limited partnership interest of the Operating Partnership (the “</w:t>
            </w:r>
            <w:r>
              <w:rPr>
                <w:rFonts w:ascii="Times New Roman" w:hAnsi="Times New Roman"/>
                <w:sz w:val="20"/>
                <w:u w:val="single"/>
              </w:rPr>
              <w:t>OP Unit Prospectus Supplement</w:t>
            </w:r>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(d)</w:t>
            </w:r>
          </w:p>
        </w:tc>
        <w:tc>
          <w:tcPr>
            <w:tcW w:w="98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resale of up to 13,453,613 shares of Common Stock that may be issued upon redemption of OP Units (the “</w:t>
            </w:r>
            <w:r>
              <w:rPr>
                <w:rFonts w:ascii="Times New Roman" w:hAnsi="Times New Roman"/>
                <w:sz w:val="20"/>
                <w:u w:val="single"/>
              </w:rPr>
              <w:t>Resale Prospectus Supplement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contribute the net proceeds from any sales of shares of Common Stock under the ATM Program to the Operating Partnership in exchange for OP Units that have economic interests substantially similar to those of the Common Stock. The Operating Partnership intends to use the net proceeds from the offering under the ATM Program to repay indebtedness outstanding from time to time and for general corporate purposes. The Company will not receive any proceeds from the sale of the shares covered by the MACWH Prospectus Supplement, the OP Unit Prospectus Supplement or the Resale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Copies of the legal opinions of the Company’s counsel, Venable LLP, relating to the legality of the shares of Common Stock covered by the prospectus supplements described above, are attached hereto as Exhibits 5.1, 5.2, 5.3 and 5.4 and are incorporated herein by reference and into the New Registration Statement. </w:t>
      </w:r>
      <w:r>
        <w:br w:type="page"/>
      </w:r>
    </w:p>
    <w:p>
      <w:pPr>
        <w:pStyle w:val="HorizontalLine"/>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ATM Program and Amended Equity Distribution Agreement </w:t>
      </w:r>
    </w:p>
    <w:p>
      <w:pPr>
        <w:pStyle w:val="TextBody"/>
        <w:bidi w:val="0"/>
        <w:spacing w:before="120" w:after="0"/>
        <w:jc w:val="left"/>
        <w:rPr>
          <w:rFonts w:ascii="Times New Roman" w:hAnsi="Times New Roman"/>
          <w:sz w:val="20"/>
        </w:rPr>
      </w:pPr>
      <w:r>
        <w:rPr>
          <w:rFonts w:ascii="Times New Roman" w:hAnsi="Times New Roman"/>
          <w:sz w:val="20"/>
        </w:rPr>
        <w:t>On August 5, 2026, in connection with filing the ATM Prospectus Supplement, the Company entered into Amendment No. 1 to Equity Distribution Agreement (“</w:t>
      </w:r>
      <w:r>
        <w:rPr>
          <w:rFonts w:ascii="Times New Roman" w:hAnsi="Times New Roman"/>
          <w:sz w:val="20"/>
          <w:u w:val="single"/>
        </w:rPr>
        <w:t>Amendment No. 1</w:t>
      </w:r>
      <w:r>
        <w:rPr>
          <w:rFonts w:ascii="Times New Roman" w:hAnsi="Times New Roman"/>
          <w:sz w:val="20"/>
        </w:rPr>
        <w:t xml:space="preserve">”) with J.P. Morgan Securities LLC, Deutsche Bank Securities Inc., BMO Capital Markets Corp., Goldman Sachs &amp; Co. LLC, Morgan Stanley &amp; Co. LLC, Scotia Capital (USA) Inc. and TD Securities (USA) LLC, the sales agents under the ATM Program, to include Morgan Stanley &amp; Co. LLC and Scotia Capital (USA) Inc. as additional sales agents for the ATM Program. </w:t>
      </w:r>
    </w:p>
    <w:p>
      <w:pPr>
        <w:pStyle w:val="TextBody"/>
        <w:bidi w:val="0"/>
        <w:spacing w:before="240" w:after="0"/>
        <w:jc w:val="left"/>
        <w:rPr>
          <w:rFonts w:ascii="Times New Roman" w:hAnsi="Times New Roman"/>
          <w:sz w:val="20"/>
        </w:rPr>
      </w:pPr>
      <w:r>
        <w:rPr>
          <w:rFonts w:ascii="Times New Roman" w:hAnsi="Times New Roman"/>
          <w:sz w:val="20"/>
        </w:rPr>
        <w:t>The Company previously entered into the Equity Distribution Agreement, dated as of November 12, 2024 (the “</w:t>
      </w:r>
      <w:r>
        <w:rPr>
          <w:rFonts w:ascii="Times New Roman" w:hAnsi="Times New Roman"/>
          <w:sz w:val="20"/>
          <w:u w:val="single"/>
        </w:rPr>
        <w:t>Equity Distribution Agreement</w:t>
      </w:r>
      <w:r>
        <w:rPr>
          <w:rFonts w:ascii="Times New Roman" w:hAnsi="Times New Roman"/>
          <w:sz w:val="20"/>
        </w:rPr>
        <w:t>”), with the sales agents party thereto, as amended by Amendment No. 1 (the “</w:t>
      </w:r>
      <w:r>
        <w:rPr>
          <w:rFonts w:ascii="Times New Roman" w:hAnsi="Times New Roman"/>
          <w:sz w:val="20"/>
          <w:u w:val="single"/>
        </w:rPr>
        <w:t>Amended Equity Distribution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Amendment No. 1 does not purport to be complete and is subject to, and qualified in its entirety by, the full text of the Equity Distribution Agreement and Amendment No. 1, which are included as Exhibits 1.1 and 1.2 hereto and are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shall not constitute an offer to sell or the solicitation of an offer to buy any security, nor shall there be any sale of these securities in any state in which such offer, solicitation or sale would be unlawful prior to registration or qualification under the securities laws of any such state. </w:t>
      </w:r>
    </w:p>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1205"/>
        <w:gridCol w:w="4025"/>
      </w:tblGrid>
      <w:tr>
        <w:trPr/>
        <w:tc>
          <w:tcPr>
            <w:tcW w:w="1205" w:type="dxa"/>
            <w:tcBorders/>
            <w:vAlign w:val="center"/>
          </w:tcPr>
          <w:p>
            <w:pPr>
              <w:pStyle w:val="TableContents"/>
              <w:bidi w:val="0"/>
              <w:spacing w:before="0" w:after="283"/>
              <w:jc w:val="left"/>
              <w:rPr>
                <w:b/>
              </w:rPr>
            </w:pPr>
            <w:r>
              <w:rPr>
                <w:b/>
              </w:rPr>
              <w:t>ITEM 9.01.</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2">
              <w:r>
                <w:rPr>
                  <w:rStyle w:val="InternetLink"/>
                </w:rPr>
                <w:t xml:space="preserve">Equity Distribution Agreement, dated as of November 12, 2024, by and among The Macerich Company and J.P. Morgan Securities LLC, Deutsche Bank Securities Inc., Goldman Sachs &amp; Co. LLC, BMO Capital Markets Corp. and TD Securities (USA) LLC (incorporated by reference as an exhibit to the Company’s Current Report on Form 8-K, event date November 12, 2024)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1.2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9476dex12.htm">
              <w:r>
                <w:rPr>
                  <w:rStyle w:val="InternetLink"/>
                </w:rPr>
                <w:t xml:space="preserve">Amendment No. 1 to Equity Distribution Agreement, dated as of August 5, 2026, by and among The Macerich Company and J.P. Morgan Securities LLC, Deutsche Bank Securities Inc., BMO Capital Markets Corp., Goldman Sachs &amp; Co. LLC, Morgan Stanley &amp; Co. LLC, Scotia Capital (USA) Inc. and TD Securities (USA) LLC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9476dex51.htm">
              <w:r>
                <w:rPr>
                  <w:rStyle w:val="InternetLink"/>
                </w:rPr>
                <w:t xml:space="preserve">Opinion of Venable LLP regarding the legality of the shares offered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9476dex52.htm">
              <w:r>
                <w:rPr>
                  <w:rStyle w:val="InternetLink"/>
                </w:rPr>
                <w:t xml:space="preserve">Opinion of Venable LLP regarding the legality of the shares offered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9476dex53.htm">
              <w:r>
                <w:rPr>
                  <w:rStyle w:val="InternetLink"/>
                </w:rPr>
                <w:t xml:space="preserve">Opinion of Venable LLP regarding the legality of the shares offered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9476dex54.htm">
              <w:r>
                <w:rPr>
                  <w:rStyle w:val="InternetLink"/>
                </w:rPr>
                <w:t xml:space="preserve">Opinion of Venable LLP regarding the legality of the shares offered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 xml:space="preserve">Consent of Venable LLP (included in </w:t>
            </w:r>
            <w:hyperlink w:anchor="d169476dex51.htm">
              <w:r>
                <w:rPr>
                  <w:rStyle w:val="InternetLink"/>
                </w:rPr>
                <w:t>Exhibit 5.1</w:t>
              </w:r>
            </w:hyperlink>
            <w:r>
              <w:rPr/>
              <w:t xml:space="preserve">, </w:t>
            </w:r>
            <w:hyperlink w:anchor="d169476dex52.htm">
              <w:r>
                <w:rPr>
                  <w:rStyle w:val="InternetLink"/>
                </w:rPr>
                <w:t>Exhibit 5.2</w:t>
              </w:r>
            </w:hyperlink>
            <w:r>
              <w:rPr/>
              <w:t xml:space="preserve">, </w:t>
            </w:r>
            <w:hyperlink w:anchor="d169476dex53.htm">
              <w:r>
                <w:rPr>
                  <w:rStyle w:val="InternetLink"/>
                </w:rPr>
                <w:t>Exhibit 5.3</w:t>
              </w:r>
            </w:hyperlink>
            <w:r>
              <w:rPr/>
              <w:t xml:space="preserve"> and </w:t>
            </w:r>
            <w:hyperlink w:anchor="d169476dex54.htm">
              <w:r>
                <w:rPr>
                  <w:rStyle w:val="InternetLink"/>
                </w:rPr>
                <w:t>Exhibit 5.4</w:t>
              </w:r>
            </w:hyperlink>
            <w:r>
              <w:rPr/>
              <w: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Macerich Company has duly caused this report to be signed on its behalf by the undersigned hereunto duly authorized. </w:t>
      </w:r>
    </w:p>
    <w:p>
      <w:pPr>
        <w:pStyle w:val="TextBody"/>
        <w:bidi w:val="0"/>
        <w:spacing w:before="0" w:after="0"/>
        <w:jc w:val="left"/>
        <w:rPr/>
      </w:pPr>
      <w:r>
        <w:rPr/>
        <w:t> </w:t>
      </w:r>
    </w:p>
    <w:tbl>
      <w:tblPr>
        <w:tblW w:w="5321" w:type="dxa"/>
        <w:jc w:val="left"/>
        <w:tblInd w:w="0" w:type="dxa"/>
        <w:tblLayout w:type="fixed"/>
        <w:tblCellMar>
          <w:top w:w="0" w:type="dxa"/>
          <w:left w:w="0" w:type="dxa"/>
          <w:bottom w:w="0" w:type="dxa"/>
          <w:right w:w="0" w:type="dxa"/>
        </w:tblCellMar>
      </w:tblPr>
      <w:tblGrid>
        <w:gridCol w:w="1505"/>
        <w:gridCol w:w="60"/>
        <w:gridCol w:w="23"/>
        <w:gridCol w:w="60"/>
        <w:gridCol w:w="23"/>
        <w:gridCol w:w="60"/>
        <w:gridCol w:w="3590"/>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THE MACERICH COMPANY</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By: DANIEL E. SWANSTROM II</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August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E. Swanstrom II</w:t>
            </w:r>
          </w:p>
        </w:tc>
      </w:tr>
      <w:tr>
        <w:trPr/>
        <w:tc>
          <w:tcPr>
            <w:tcW w:w="1505" w:type="dxa"/>
            <w:tcBorders/>
            <w:vAlign w:val="center"/>
          </w:tcPr>
          <w:p>
            <w:pPr>
              <w:pStyle w:val="TableContents"/>
              <w:bidi w:val="0"/>
              <w:spacing w:before="0" w:after="283"/>
              <w:jc w:val="left"/>
              <w:rPr/>
            </w:pPr>
            <w:r>
              <w:rPr/>
              <w:t>Date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Senior Executive Vice President,</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Chief Financial Officer and Treasurer</w:t>
            </w:r>
          </w:p>
        </w:tc>
      </w:tr>
    </w:tbl>
    <w:p>
      <w:pPr>
        <w:pStyle w:val="TextBody"/>
        <w:bidi w:val="0"/>
        <w:spacing w:before="0" w:after="0"/>
        <w:jc w:val="right"/>
        <w:rPr>
          <w:rFonts w:ascii="Times New Roman" w:hAnsi="Times New Roman"/>
          <w:b/>
          <w:sz w:val="20"/>
        </w:rPr>
      </w:pPr>
      <w:bookmarkStart w:id="2" w:name="d169476dex12.htm"/>
      <w:bookmarkStart w:id="3" w:name="ksd169476dex12"/>
      <w:bookmarkEnd w:id="2"/>
      <w:bookmarkEnd w:id="3"/>
      <w:r>
        <w:rPr>
          <w:rFonts w:ascii="Times New Roman" w:hAnsi="Times New Roman"/>
          <w:b/>
          <w:sz w:val="20"/>
        </w:rPr>
        <w:t xml:space="preserve">Exhibit 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THE MACERICH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$500,000,000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($0.01 par value per share)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 NO. 1 TO </w:t>
      </w:r>
    </w:p>
    <w:p>
      <w:pPr>
        <w:pStyle w:val="TextBody"/>
        <w:bidi w:val="0"/>
        <w:spacing w:before="0" w:after="0"/>
        <w:jc w:val="center"/>
        <w:rPr>
          <w:rFonts w:ascii="Times New Roman" w:hAnsi="Times New Roman"/>
          <w:b/>
          <w:sz w:val="20"/>
        </w:rPr>
      </w:pPr>
      <w:r>
        <w:rPr>
          <w:rFonts w:ascii="Times New Roman" w:hAnsi="Times New Roman"/>
          <w:b/>
          <w:sz w:val="20"/>
        </w:rPr>
        <w:t xml:space="preserve">EQUITY DISTRIBUTION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5"/>
        <w:gridCol w:w="120"/>
        <w:gridCol w:w="7160"/>
      </w:tblGrid>
      <w:tr>
        <w:trPr/>
        <w:tc>
          <w:tcPr>
            <w:tcW w:w="29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60" w:type="dxa"/>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270 Park Avenue</w:t>
            </w:r>
          </w:p>
          <w:p>
            <w:pPr>
              <w:pStyle w:val="TableContents"/>
              <w:bidi w:val="0"/>
              <w:spacing w:before="0" w:after="20"/>
              <w:jc w:val="left"/>
              <w:rPr>
                <w:rFonts w:ascii="Times New Roman" w:hAnsi="Times New Roman"/>
                <w:sz w:val="20"/>
              </w:rPr>
            </w:pPr>
            <w:r>
              <w:rPr>
                <w:rFonts w:ascii="Times New Roman" w:hAnsi="Times New Roman"/>
                <w:sz w:val="20"/>
              </w:rPr>
              <w:t>New York, New York 10017</w:t>
            </w:r>
          </w:p>
        </w:tc>
        <w:tc>
          <w:tcPr>
            <w:tcW w:w="120" w:type="dxa"/>
            <w:tcBorders/>
            <w:vAlign w:val="bottom"/>
          </w:tcPr>
          <w:p>
            <w:pPr>
              <w:pStyle w:val="TableContents"/>
              <w:bidi w:val="0"/>
              <w:spacing w:before="0" w:after="283"/>
              <w:jc w:val="left"/>
              <w:rPr/>
            </w:pPr>
            <w:r>
              <w:rPr/>
              <w:t>  </w:t>
            </w:r>
          </w:p>
        </w:tc>
        <w:tc>
          <w:tcPr>
            <w:tcW w:w="7160"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1585 Broadway</w:t>
            </w:r>
          </w:p>
          <w:p>
            <w:pPr>
              <w:pStyle w:val="TableContents"/>
              <w:bidi w:val="0"/>
              <w:spacing w:before="0" w:after="20"/>
              <w:jc w:val="left"/>
              <w:rPr>
                <w:rFonts w:ascii="Times New Roman" w:hAnsi="Times New Roman"/>
                <w:sz w:val="20"/>
              </w:rPr>
            </w:pPr>
            <w:r>
              <w:rPr>
                <w:rFonts w:ascii="Times New Roman" w:hAnsi="Times New Roman"/>
                <w:sz w:val="20"/>
              </w:rPr>
              <w:t>New York, New York 10036</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1 Columbus Circle</w:t>
            </w:r>
          </w:p>
          <w:p>
            <w:pPr>
              <w:pStyle w:val="TableContents"/>
              <w:bidi w:val="0"/>
              <w:spacing w:before="0" w:after="20"/>
              <w:jc w:val="left"/>
              <w:rPr>
                <w:rFonts w:ascii="Times New Roman" w:hAnsi="Times New Roman"/>
                <w:sz w:val="20"/>
              </w:rPr>
            </w:pPr>
            <w:r>
              <w:rPr>
                <w:rFonts w:ascii="Times New Roman" w:hAnsi="Times New Roman"/>
                <w:sz w:val="20"/>
              </w:rPr>
              <w:t>New York, New York 10019</w:t>
            </w:r>
          </w:p>
        </w:tc>
        <w:tc>
          <w:tcPr>
            <w:tcW w:w="120" w:type="dxa"/>
            <w:tcBorders/>
            <w:vAlign w:val="bottom"/>
          </w:tcPr>
          <w:p>
            <w:pPr>
              <w:pStyle w:val="TableContents"/>
              <w:bidi w:val="0"/>
              <w:spacing w:before="0" w:after="283"/>
              <w:jc w:val="left"/>
              <w:rPr/>
            </w:pPr>
            <w:r>
              <w:rPr/>
              <w:t>  </w:t>
            </w:r>
          </w:p>
        </w:tc>
        <w:tc>
          <w:tcPr>
            <w:tcW w:w="7160" w:type="dxa"/>
            <w:tcBorders/>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250 Vesey Street, 24th Floor</w:t>
            </w:r>
          </w:p>
          <w:p>
            <w:pPr>
              <w:pStyle w:val="TableContents"/>
              <w:bidi w:val="0"/>
              <w:spacing w:before="0" w:after="20"/>
              <w:jc w:val="left"/>
              <w:rPr>
                <w:rFonts w:ascii="Times New Roman" w:hAnsi="Times New Roman"/>
                <w:sz w:val="20"/>
              </w:rPr>
            </w:pPr>
            <w:r>
              <w:rPr>
                <w:rFonts w:ascii="Times New Roman" w:hAnsi="Times New Roman"/>
                <w:sz w:val="20"/>
              </w:rPr>
              <w:t>New York, New York 10281</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p>
            <w:pPr>
              <w:pStyle w:val="TableContents"/>
              <w:bidi w:val="0"/>
              <w:spacing w:before="0" w:after="0"/>
              <w:jc w:val="left"/>
              <w:rPr>
                <w:rFonts w:ascii="Times New Roman" w:hAnsi="Times New Roman"/>
                <w:sz w:val="20"/>
              </w:rPr>
            </w:pPr>
            <w:r>
              <w:rPr>
                <w:rFonts w:ascii="Times New Roman" w:hAnsi="Times New Roman"/>
                <w:sz w:val="20"/>
              </w:rPr>
              <w:t>151 West 42nd Street, 32nd Floor</w:t>
            </w:r>
          </w:p>
          <w:p>
            <w:pPr>
              <w:pStyle w:val="TableContents"/>
              <w:bidi w:val="0"/>
              <w:spacing w:before="0" w:after="20"/>
              <w:jc w:val="left"/>
              <w:rPr>
                <w:rFonts w:ascii="Times New Roman" w:hAnsi="Times New Roman"/>
                <w:sz w:val="20"/>
              </w:rPr>
            </w:pPr>
            <w:r>
              <w:rPr>
                <w:rFonts w:ascii="Times New Roman" w:hAnsi="Times New Roman"/>
                <w:sz w:val="20"/>
              </w:rPr>
              <w:t>New York, New York 10036</w:t>
            </w:r>
          </w:p>
        </w:tc>
        <w:tc>
          <w:tcPr>
            <w:tcW w:w="120" w:type="dxa"/>
            <w:tcBorders/>
            <w:vAlign w:val="bottom"/>
          </w:tcPr>
          <w:p>
            <w:pPr>
              <w:pStyle w:val="TableContents"/>
              <w:bidi w:val="0"/>
              <w:spacing w:before="0" w:after="283"/>
              <w:jc w:val="left"/>
              <w:rPr/>
            </w:pPr>
            <w:r>
              <w:rPr/>
              <w:t>  </w:t>
            </w:r>
          </w:p>
        </w:tc>
        <w:tc>
          <w:tcPr>
            <w:tcW w:w="7160"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1 Vanderbilt Avenue</w:t>
            </w:r>
          </w:p>
          <w:p>
            <w:pPr>
              <w:pStyle w:val="TableContents"/>
              <w:bidi w:val="0"/>
              <w:spacing w:before="0" w:after="20"/>
              <w:jc w:val="left"/>
              <w:rPr>
                <w:rFonts w:ascii="Times New Roman" w:hAnsi="Times New Roman"/>
                <w:sz w:val="20"/>
              </w:rPr>
            </w:pPr>
            <w:r>
              <w:rPr>
                <w:rFonts w:ascii="Times New Roman" w:hAnsi="Times New Roman"/>
                <w:sz w:val="20"/>
              </w:rPr>
              <w:t>New York, New York 10017</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200 West Street</w:t>
            </w:r>
          </w:p>
          <w:p>
            <w:pPr>
              <w:pStyle w:val="TableContents"/>
              <w:bidi w:val="0"/>
              <w:spacing w:before="0" w:after="20"/>
              <w:jc w:val="left"/>
              <w:rPr>
                <w:rFonts w:ascii="Times New Roman" w:hAnsi="Times New Roman"/>
                <w:sz w:val="20"/>
              </w:rPr>
            </w:pPr>
            <w:r>
              <w:rPr>
                <w:rFonts w:ascii="Times New Roman" w:hAnsi="Times New Roman"/>
                <w:sz w:val="20"/>
              </w:rPr>
              <w:t>New York, New York 10282</w:t>
            </w:r>
          </w:p>
        </w:tc>
        <w:tc>
          <w:tcPr>
            <w:tcW w:w="120" w:type="dxa"/>
            <w:tcBorders/>
            <w:vAlign w:val="bottom"/>
          </w:tcPr>
          <w:p>
            <w:pPr>
              <w:pStyle w:val="TableContents"/>
              <w:bidi w:val="0"/>
              <w:spacing w:before="0" w:after="283"/>
              <w:jc w:val="left"/>
              <w:rPr/>
            </w:pPr>
            <w:r>
              <w:rPr/>
              <w:t>  </w:t>
            </w:r>
          </w:p>
        </w:tc>
        <w:tc>
          <w:tcPr>
            <w:tcW w:w="71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Equity Distribution Agreement, dated as of November 12, 2024 (the “</w:t>
      </w:r>
      <w:r>
        <w:rPr>
          <w:rFonts w:ascii="Times New Roman" w:hAnsi="Times New Roman"/>
          <w:i/>
          <w:sz w:val="20"/>
        </w:rPr>
        <w:t>Agreement</w:t>
      </w:r>
      <w:r>
        <w:rPr>
          <w:rFonts w:ascii="Times New Roman" w:hAnsi="Times New Roman"/>
          <w:sz w:val="20"/>
        </w:rPr>
        <w:t>”), by and among The Macerich Company, a Maryland corporation (the “</w:t>
      </w:r>
      <w:r>
        <w:rPr>
          <w:rFonts w:ascii="Times New Roman" w:hAnsi="Times New Roman"/>
          <w:i/>
          <w:sz w:val="20"/>
        </w:rPr>
        <w:t>Company</w:t>
      </w:r>
      <w:r>
        <w:rPr>
          <w:rFonts w:ascii="Times New Roman" w:hAnsi="Times New Roman"/>
          <w:sz w:val="20"/>
        </w:rPr>
        <w:t>”), J.P. Morgan Securities LLC, Deutsche Bank Securities Inc., Goldman Sachs &amp; Co. LLC, BMO Capital Markets Corp. and TD Securities (USA) LLC (each, an “</w:t>
      </w:r>
      <w:r>
        <w:rPr>
          <w:rFonts w:ascii="Times New Roman" w:hAnsi="Times New Roman"/>
          <w:i/>
          <w:sz w:val="20"/>
        </w:rPr>
        <w:t>Existing Manager</w:t>
      </w:r>
      <w:r>
        <w:rPr>
          <w:rFonts w:ascii="Times New Roman" w:hAnsi="Times New Roman"/>
          <w:sz w:val="20"/>
        </w:rPr>
        <w:t>” and, collectively, the “</w:t>
      </w:r>
      <w:r>
        <w:rPr>
          <w:rFonts w:ascii="Times New Roman" w:hAnsi="Times New Roman"/>
          <w:i/>
          <w:sz w:val="20"/>
        </w:rPr>
        <w:t>Existing Managers</w:t>
      </w:r>
      <w:r>
        <w:rPr>
          <w:rFonts w:ascii="Times New Roman" w:hAnsi="Times New Roman"/>
          <w:sz w:val="20"/>
        </w:rPr>
        <w:t xml:space="preserve">”), pursuant to which the Company proposed to issue and sell through or to the Existing Managers, as sales agents and/or principals, shares of the Company’s common stock, par value $0.01 per share, having an aggregate offering price of up to $500,000,000.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August 5, 2026, the Company filed with the Securities and Exchange Commission (the “</w:t>
      </w:r>
      <w:r>
        <w:rPr>
          <w:rFonts w:ascii="Times New Roman" w:hAnsi="Times New Roman"/>
          <w:i/>
          <w:sz w:val="20"/>
          <w:u w:val="single"/>
        </w:rPr>
        <w:t>Commission</w:t>
      </w:r>
      <w:r>
        <w:rPr>
          <w:rFonts w:ascii="Times New Roman" w:hAnsi="Times New Roman"/>
          <w:sz w:val="20"/>
        </w:rPr>
        <w:t>”) an automatic shelf registration statement on Form S-3 (File No. 333-297985) (the “</w:t>
      </w:r>
      <w:r>
        <w:rPr>
          <w:rFonts w:ascii="Times New Roman" w:hAnsi="Times New Roman"/>
          <w:i/>
          <w:sz w:val="20"/>
        </w:rPr>
        <w:t>registration statement</w:t>
      </w:r>
      <w:r>
        <w:rPr>
          <w:rFonts w:ascii="Times New Roman" w:hAnsi="Times New Roman"/>
          <w:sz w:val="20"/>
        </w:rPr>
        <w:t>”) which became effective upon filing under the Securities Act of 1933, as amended, and the rules and regulations thereunder (collectively, the “</w:t>
      </w:r>
      <w:r>
        <w:rPr>
          <w:rFonts w:ascii="Times New Roman" w:hAnsi="Times New Roman"/>
          <w:i/>
          <w:sz w:val="20"/>
          <w:u w:val="single"/>
        </w:rPr>
        <w:t>Act</w:t>
      </w:r>
      <w:r>
        <w:rPr>
          <w:rFonts w:ascii="Times New Roman" w:hAnsi="Times New Roman"/>
          <w:sz w:val="20"/>
        </w:rPr>
        <w:t>”), following the expiration of the Company’s prior automatic shelf registration statement on Form S-3 (File No. 333-273707) (the “</w:t>
      </w:r>
      <w:r>
        <w:rPr>
          <w:rFonts w:ascii="Times New Roman" w:hAnsi="Times New Roman"/>
          <w:i/>
          <w:sz w:val="20"/>
          <w:u w:val="single"/>
        </w:rPr>
        <w:t>Expired Registration Statement</w:t>
      </w:r>
      <w:r>
        <w:rPr>
          <w:rFonts w:ascii="Times New Roman" w:hAnsi="Times New Roman"/>
          <w:sz w:val="20"/>
        </w:rPr>
        <w:t>”). The Company and each of the Existing Managers hereby agree to amend the Agreement to (i) add Morgan Stanley &amp; Co. LLC and Scotia Capital (USA) Inc. (together with the Existing Managers, the “</w:t>
      </w:r>
      <w:r>
        <w:rPr>
          <w:rFonts w:ascii="Times New Roman" w:hAnsi="Times New Roman"/>
          <w:i/>
          <w:sz w:val="20"/>
        </w:rPr>
        <w:t>Managers</w:t>
      </w:r>
      <w:r>
        <w:rPr>
          <w:rFonts w:ascii="Times New Roman" w:hAnsi="Times New Roman"/>
          <w:sz w:val="20"/>
        </w:rPr>
        <w:t>”) as managers pursuant to the terms of the Agreement and (ii) reference the registration statement instead of the Expired Registration Statement, and Morgan Stanley &amp; Co. LLC and Scotia Capital (USA) Inc. hereby agree to become party to the Agreement, as amended, and subject to all of the provisions, terms and conditions contained therein. All capitalized terms used in this Amendment No. 1 to Equity Distribution Agreement (this “</w:t>
      </w:r>
      <w:r>
        <w:rPr>
          <w:rFonts w:ascii="Times New Roman" w:hAnsi="Times New Roman"/>
          <w:i/>
          <w:sz w:val="20"/>
          <w:u w:val="single"/>
        </w:rPr>
        <w:t>Amendment</w:t>
      </w:r>
      <w:r>
        <w:rPr>
          <w:rFonts w:ascii="Times New Roman" w:hAnsi="Times New Roman"/>
          <w:sz w:val="20"/>
        </w:rPr>
        <w:t xml:space="preserve">”) and not otherwise defined herein shall have the respective meanings assigned to such terms in the Agreement. The Company and the Managers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Amendments to Agreement</w:t>
      </w:r>
      <w:r>
        <w:rPr>
          <w:rFonts w:ascii="Times New Roman" w:hAnsi="Times New Roman"/>
          <w:sz w:val="20"/>
        </w:rPr>
        <w:t xml:space="preserve">. The Agreement is amended as follows, effective as of the date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preamble of the Agreement is hereby deleted and replaced with the following: </w:t>
            </w:r>
          </w:p>
        </w:tc>
      </w:tr>
    </w:tbl>
    <w:p>
      <w:pPr>
        <w:pStyle w:val="TextBody"/>
        <w:bidi w:val="0"/>
        <w:spacing w:before="120" w:after="0"/>
        <w:jc w:val="left"/>
        <w:rPr/>
      </w:pPr>
      <w:r>
        <w:rPr/>
        <w:t>“</w:t>
      </w:r>
      <w:r>
        <w:rPr>
          <w:rFonts w:ascii="Times New Roman" w:hAnsi="Times New Roman"/>
          <w:sz w:val="20"/>
        </w:rPr>
        <w:t>The Macerich Company, a Maryland corporation (the “</w:t>
      </w:r>
      <w:r>
        <w:rPr>
          <w:rFonts w:ascii="Times New Roman" w:hAnsi="Times New Roman"/>
          <w:i/>
          <w:sz w:val="20"/>
        </w:rPr>
        <w:t>Company</w:t>
      </w:r>
      <w:r>
        <w:rPr>
          <w:rFonts w:ascii="Times New Roman" w:hAnsi="Times New Roman"/>
          <w:sz w:val="20"/>
        </w:rPr>
        <w:t>”), confirms its agreement (this “</w:t>
      </w:r>
      <w:r>
        <w:rPr>
          <w:rFonts w:ascii="Times New Roman" w:hAnsi="Times New Roman"/>
          <w:i/>
          <w:sz w:val="20"/>
        </w:rPr>
        <w:t>Agreement</w:t>
      </w:r>
      <w:r>
        <w:rPr>
          <w:rFonts w:ascii="Times New Roman" w:hAnsi="Times New Roman"/>
          <w:sz w:val="20"/>
        </w:rPr>
        <w:t>”) with J.P. Morgan Securities LLC, Deutsche Bank Securities Inc., BMO Capital Markets Corp., Goldman Sachs &amp; Co. LLC, Morgan Stanley &amp; Co. LLC, Scotia Capital (USA) Inc., TD Securities (USA) LLC and any such other manager that may become a party hereto, as described below (each, a “</w:t>
      </w:r>
      <w:r>
        <w:rPr>
          <w:rFonts w:ascii="Times New Roman" w:hAnsi="Times New Roman"/>
          <w:i/>
          <w:sz w:val="20"/>
        </w:rPr>
        <w:t>Manager</w:t>
      </w:r>
      <w:r>
        <w:rPr>
          <w:rFonts w:ascii="Times New Roman" w:hAnsi="Times New Roman"/>
          <w:sz w:val="20"/>
        </w:rPr>
        <w:t>” and, collectively, the “</w:t>
      </w:r>
      <w:r>
        <w:rPr>
          <w:rFonts w:ascii="Times New Roman" w:hAnsi="Times New Roman"/>
          <w:i/>
          <w:sz w:val="20"/>
        </w:rPr>
        <w:t>Managers</w:t>
      </w:r>
      <w:r>
        <w:rPr>
          <w:rFonts w:ascii="Times New Roman" w:hAnsi="Times New Roman"/>
          <w:sz w:val="20"/>
        </w:rPr>
        <w:t xml:space="preserv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fourth sentence of Section 1 of the Agreement is hereby deleted and replaced with the following: </w:t>
            </w:r>
          </w:p>
        </w:tc>
      </w:tr>
    </w:tbl>
    <w:p>
      <w:pPr>
        <w:pStyle w:val="TextBody"/>
        <w:bidi w:val="0"/>
        <w:spacing w:before="120" w:after="0"/>
        <w:jc w:val="left"/>
        <w:rPr/>
      </w:pPr>
      <w:r>
        <w:rPr/>
        <w:t>“</w:t>
      </w:r>
      <w:r>
        <w:rPr>
          <w:rFonts w:ascii="Times New Roman" w:hAnsi="Times New Roman"/>
          <w:sz w:val="20"/>
        </w:rPr>
        <w:t xml:space="preserve">All references herein to the Managers shall mean J.P. Morgan Securities LLC, Deutsche Bank Securities Inc., BMO Capital Markets Corp., Goldman Sachs &amp; Co. LLC, Morgan Stanley &amp; Co. LLC, Scotia Capital (USA) Inc. and TD Securities (USA) LLC, as the exclusive Managers, for so long as no additional Managers become a party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2(a) of the Agreement is hereby deleted and replaced with the following: </w:t>
            </w:r>
          </w:p>
        </w:tc>
      </w:tr>
    </w:tbl>
    <w:p>
      <w:pPr>
        <w:pStyle w:val="TextBody"/>
        <w:bidi w:val="0"/>
        <w:spacing w:before="120" w:after="0"/>
        <w:jc w:val="left"/>
        <w:rPr/>
      </w:pPr>
      <w:r>
        <w:rPr/>
        <w:t>“</w:t>
      </w:r>
      <w:r>
        <w:rPr>
          <w:rFonts w:ascii="Times New Roman" w:hAnsi="Times New Roman"/>
          <w:sz w:val="20"/>
        </w:rPr>
        <w:t>The Company prepared and filed with the Securities and Exchange Commission (the “Commission”) an automatic shelf registration statement on Form S-3 (File No. 333-297985) (the “</w:t>
      </w:r>
      <w:r>
        <w:rPr>
          <w:rFonts w:ascii="Times New Roman" w:hAnsi="Times New Roman"/>
          <w:i/>
          <w:sz w:val="20"/>
        </w:rPr>
        <w:t>2026</w:t>
      </w:r>
      <w:r>
        <w:rPr>
          <w:rFonts w:ascii="Times New Roman" w:hAnsi="Times New Roman"/>
          <w:sz w:val="20"/>
        </w:rPr>
        <w:t xml:space="preserve"> </w:t>
      </w:r>
      <w:r>
        <w:rPr>
          <w:rFonts w:ascii="Times New Roman" w:hAnsi="Times New Roman"/>
          <w:i/>
          <w:sz w:val="20"/>
        </w:rPr>
        <w:t>registration statement</w:t>
      </w:r>
      <w:r>
        <w:rPr>
          <w:rFonts w:ascii="Times New Roman" w:hAnsi="Times New Roman"/>
          <w:sz w:val="20"/>
        </w:rPr>
        <w:t>”) which became effective upon filing under the Securities Act of 1933, as amended, and the rules and regulations thereunder (collectively, the “</w:t>
      </w:r>
      <w:r>
        <w:rPr>
          <w:rFonts w:ascii="Times New Roman" w:hAnsi="Times New Roman"/>
          <w:i/>
          <w:sz w:val="20"/>
        </w:rPr>
        <w:t>Act</w:t>
      </w:r>
      <w:r>
        <w:rPr>
          <w:rFonts w:ascii="Times New Roman" w:hAnsi="Times New Roman"/>
          <w:sz w:val="20"/>
        </w:rPr>
        <w:t xml:space="preserve">”); the Registration Statement (as defined below) and the Prospectus Supplement (as defined below) set forth the terms of an offering, sale and plan of distribution of Common Stock and/or other securities of the Company and contain or incorporate therein by reference additional information concerning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and its business; no order of the Commission preventing or suspending the use of the Base Prospectus (as defined below), the Prospectus Supplement (as defined below), the Prospectus (as defined below) or any Issuer Free Writing Prospectus (as defined in </w:t>
      </w:r>
      <w:r>
        <w:rPr>
          <w:rFonts w:ascii="Times New Roman" w:hAnsi="Times New Roman"/>
          <w:sz w:val="20"/>
          <w:u w:val="single"/>
        </w:rPr>
        <w:t>Section 2(f)</w:t>
      </w:r>
      <w:r>
        <w:rPr>
          <w:rFonts w:ascii="Times New Roman" w:hAnsi="Times New Roman"/>
          <w:sz w:val="20"/>
        </w:rPr>
        <w:t xml:space="preserve"> below), or the effectiveness of the Registration Statement, has been issued or is in effect, and no proceeding for that purpose has been initiated or threatened by the Commission, and no notice of objection of the Commission to the use of the Registration Statement or any post-effective amendment thereto pursuant to Rule 401(g)(2) under the Act has been received by the Company. As filed, the Prospectus shall contain in all material respects the information required by the Act and the rules thereunder, and, except to the extent the Managers shall agree in writing prior to a modification, the Prospectus (as amended or supplemented) shall be in all substantive respects in the form furnished to the Managers (i) prior to the execution of this Agreement or (ii) after the execution of this Agreement, pursuant to the Company’s agreement in </w:t>
      </w:r>
      <w:r>
        <w:rPr>
          <w:rFonts w:ascii="Times New Roman" w:hAnsi="Times New Roman"/>
          <w:sz w:val="20"/>
          <w:u w:val="single"/>
        </w:rPr>
        <w:t>Section 4(a)</w:t>
      </w:r>
      <w:r>
        <w:rPr>
          <w:rFonts w:ascii="Times New Roman" w:hAnsi="Times New Roman"/>
          <w:sz w:val="20"/>
        </w:rPr>
        <w:t>. Except where the context otherwise requires, “</w:t>
      </w:r>
      <w:r>
        <w:rPr>
          <w:rFonts w:ascii="Times New Roman" w:hAnsi="Times New Roman"/>
          <w:i/>
          <w:sz w:val="20"/>
        </w:rPr>
        <w:t>Registration Statement,</w:t>
      </w:r>
      <w:r>
        <w:rPr>
          <w:rFonts w:ascii="Times New Roman" w:hAnsi="Times New Roman"/>
          <w:sz w:val="20"/>
        </w:rPr>
        <w:t>” as used herein, means the 2026 registration statement, as amended at the time of such registration statement’s effectiveness for purposes of Section 11 of the Act (the “</w:t>
      </w:r>
      <w:r>
        <w:rPr>
          <w:rFonts w:ascii="Times New Roman" w:hAnsi="Times New Roman"/>
          <w:i/>
          <w:sz w:val="20"/>
        </w:rPr>
        <w:t>Effective Time</w:t>
      </w:r>
      <w:r>
        <w:rPr>
          <w:rFonts w:ascii="Times New Roman" w:hAnsi="Times New Roman"/>
          <w:sz w:val="20"/>
        </w:rPr>
        <w:t>”), as such section applies to the Managers, and each further registration statement filed by the Company for the purpose of registering additional Shares to be sold pursuant to this Agreement (or, on and after the date on which the Shares may no longer be offered and sold pursuant to any such registration statement, any such further registration statement filed by the Company for the purpose of continuing the offering of the Shares following such date), including (i) all documents filed as a part thereof or incorporated or deemed to be incorporated by reference therein, (ii) any information contained or incorporated by reference in a prospectus filed with the Commission pursuant to Rule 424(b) under the Act, to the extent such information is deemed, pursuant to Rule 430B or Rule 430C under the Act, to be part of the Registration Statement at the Effective Time, and (iii) any registration statement filed to register the offer and sale of Shares pursuant to Rule 462(b) under the Act. Except where the context otherwise requires, “</w:t>
      </w:r>
      <w:r>
        <w:rPr>
          <w:rFonts w:ascii="Times New Roman" w:hAnsi="Times New Roman"/>
          <w:i/>
          <w:sz w:val="20"/>
        </w:rPr>
        <w:t>Base Prospectus,</w:t>
      </w:r>
      <w:r>
        <w:rPr>
          <w:rFonts w:ascii="Times New Roman" w:hAnsi="Times New Roman"/>
          <w:sz w:val="20"/>
        </w:rPr>
        <w:t>” as used herein, means the base prospectus filed as part of the Registration Statement. Except where the context otherwise requires, “</w:t>
      </w:r>
      <w:r>
        <w:rPr>
          <w:rFonts w:ascii="Times New Roman" w:hAnsi="Times New Roman"/>
          <w:i/>
          <w:sz w:val="20"/>
        </w:rPr>
        <w:t>Prospectus Supplement,</w:t>
      </w:r>
      <w:r>
        <w:rPr>
          <w:rFonts w:ascii="Times New Roman" w:hAnsi="Times New Roman"/>
          <w:sz w:val="20"/>
        </w:rPr>
        <w:t>” as used herein, means the most recent final prospectus supplement, relating to the Shares, filed by the Company with the Commission pursuant to Rule 424(b) under the Act within the time period prescribed therein, in the form furnished by the Company to each Manager in connection with the offering of the Shares. Except where the context otherwise requires, “</w:t>
      </w:r>
      <w:r>
        <w:rPr>
          <w:rFonts w:ascii="Times New Roman" w:hAnsi="Times New Roman"/>
          <w:i/>
          <w:sz w:val="20"/>
        </w:rPr>
        <w:t>Prospectus,</w:t>
      </w:r>
      <w:r>
        <w:rPr>
          <w:rFonts w:ascii="Times New Roman" w:hAnsi="Times New Roman"/>
          <w:sz w:val="20"/>
        </w:rPr>
        <w:t>” as used herein, means the Prospectus Supplement together with the Base Prospectus attached to or used with the Prospectus Supplement. “</w:t>
      </w:r>
      <w:r>
        <w:rPr>
          <w:rFonts w:ascii="Times New Roman" w:hAnsi="Times New Roman"/>
          <w:i/>
          <w:sz w:val="20"/>
        </w:rPr>
        <w:t>Permitted Free Writing Prospectuses,</w:t>
      </w:r>
      <w:r>
        <w:rPr>
          <w:rFonts w:ascii="Times New Roman" w:hAnsi="Times New Roman"/>
          <w:sz w:val="20"/>
        </w:rPr>
        <w:t xml:space="preserve">” as used herein, means the documents listed on </w:t>
      </w:r>
      <w:r>
        <w:rPr>
          <w:rFonts w:ascii="Times New Roman" w:hAnsi="Times New Roman"/>
          <w:sz w:val="20"/>
          <w:u w:val="single"/>
        </w:rPr>
        <w:t>Schedule B</w:t>
      </w:r>
      <w:r>
        <w:rPr>
          <w:rFonts w:ascii="Times New Roman" w:hAnsi="Times New Roman"/>
          <w:sz w:val="20"/>
        </w:rPr>
        <w:t xml:space="preserve"> hereto. Any reference herein to the Registration Statement, the Base Prospectus, the Prospectus Supplement, the Prospectus or any Permitted Free Writing Prospectus shall be deemed to refer to and include the documents, if any, incorporated by reference, or deemed to be incorporated by reference, therein (the “</w:t>
      </w:r>
      <w:r>
        <w:rPr>
          <w:rFonts w:ascii="Times New Roman" w:hAnsi="Times New Roman"/>
          <w:i/>
          <w:sz w:val="20"/>
        </w:rPr>
        <w:t>Incorporated Documents</w:t>
      </w:r>
      <w:r>
        <w:rPr>
          <w:rFonts w:ascii="Times New Roman" w:hAnsi="Times New Roman"/>
          <w:sz w:val="20"/>
        </w:rPr>
        <w:t>”), including, unless the context otherwise requires, the documents, if any, filed as exhibits to such Incorporated Documents. Any reference herein to the terms “</w:t>
      </w:r>
      <w:r>
        <w:rPr>
          <w:rFonts w:ascii="Times New Roman" w:hAnsi="Times New Roman"/>
          <w:i/>
          <w:sz w:val="20"/>
        </w:rPr>
        <w:t>amend,</w:t>
      </w:r>
      <w:r>
        <w:rPr>
          <w:rFonts w:ascii="Times New Roman" w:hAnsi="Times New Roman"/>
          <w:sz w:val="20"/>
        </w:rPr>
        <w:t>” “</w:t>
      </w:r>
      <w:r>
        <w:rPr>
          <w:rFonts w:ascii="Times New Roman" w:hAnsi="Times New Roman"/>
          <w:i/>
          <w:sz w:val="20"/>
        </w:rPr>
        <w:t>amendment</w:t>
      </w:r>
      <w:r>
        <w:rPr>
          <w:rFonts w:ascii="Times New Roman" w:hAnsi="Times New Roman"/>
          <w:sz w:val="20"/>
        </w:rPr>
        <w:t>” or “</w:t>
      </w:r>
      <w:r>
        <w:rPr>
          <w:rFonts w:ascii="Times New Roman" w:hAnsi="Times New Roman"/>
          <w:i/>
          <w:sz w:val="20"/>
        </w:rPr>
        <w:t>supplement</w:t>
      </w:r>
      <w:r>
        <w:rPr>
          <w:rFonts w:ascii="Times New Roman" w:hAnsi="Times New Roman"/>
          <w:sz w:val="20"/>
        </w:rPr>
        <w:t xml:space="preserve">” with respect to the Registration Statement, the Base Prospectus, the Prospectus Supplement, the Prospectus or any Permitted Free Writing Prospectus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 deemed to refer to and include the filing of any document by the Company under the Securities Exchange Act of 1934, as amended, and the rules and regulations thereunder (collectively, the “</w:t>
      </w:r>
      <w:r>
        <w:rPr>
          <w:rFonts w:ascii="Times New Roman" w:hAnsi="Times New Roman"/>
          <w:i/>
          <w:sz w:val="20"/>
        </w:rPr>
        <w:t>Exchange Act</w:t>
      </w:r>
      <w:r>
        <w:rPr>
          <w:rFonts w:ascii="Times New Roman" w:hAnsi="Times New Roman"/>
          <w:sz w:val="20"/>
        </w:rPr>
        <w:t xml:space="preserve">”), on or after the initial effective date of the Registration Statement, or the date of such Base Prospectus, the Prospectus Supplement, the Prospectus or such Permitted Free Writing Prospectus, as the case may be, and deemed to be incorporated therein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2(b) of the Agreement is hereby deleted and replaced with the following: </w:t>
            </w:r>
          </w:p>
        </w:tc>
      </w:tr>
    </w:tbl>
    <w:p>
      <w:pPr>
        <w:pStyle w:val="TextBody"/>
        <w:bidi w:val="0"/>
        <w:spacing w:before="120" w:after="0"/>
        <w:jc w:val="left"/>
        <w:rPr/>
      </w:pPr>
      <w:r>
        <w:rPr/>
        <w:t>“</w:t>
      </w:r>
      <w:r>
        <w:rPr>
          <w:rFonts w:ascii="Times New Roman" w:hAnsi="Times New Roman"/>
          <w:sz w:val="20"/>
        </w:rPr>
        <w:t xml:space="preserve">On and after the date that the 2026 registration statement is not available for the sales of the Shares as contemplated by this Agreement or the Company is not a “well-known seasoned issuer” as defined in Rule 405 under the Act or otherwise is unable to make the representations set forth in </w:t>
      </w:r>
      <w:r>
        <w:rPr>
          <w:rFonts w:ascii="Times New Roman" w:hAnsi="Times New Roman"/>
          <w:sz w:val="20"/>
          <w:u w:val="single"/>
        </w:rPr>
        <w:t>Section 2(c)</w:t>
      </w:r>
      <w:r>
        <w:rPr>
          <w:rFonts w:ascii="Times New Roman" w:hAnsi="Times New Roman"/>
          <w:sz w:val="20"/>
        </w:rPr>
        <w:t xml:space="preserve"> at any time when such representations are required, the Company shall file a new registration statement for the purpose of continuing the offering of the Shares and shall cause such registration statement to become effective as promptly as practicable. After the effectiveness of any such registration statement, all references to “</w:t>
      </w:r>
      <w:r>
        <w:rPr>
          <w:rFonts w:ascii="Times New Roman" w:hAnsi="Times New Roman"/>
          <w:i/>
          <w:sz w:val="20"/>
        </w:rPr>
        <w:t>Registration Statement</w:t>
      </w:r>
      <w:r>
        <w:rPr>
          <w:rFonts w:ascii="Times New Roman" w:hAnsi="Times New Roman"/>
          <w:sz w:val="20"/>
        </w:rPr>
        <w:t>” included in this Agreement shall be deemed to include such new registration statement, including all documents incorporated by reference therein pursuant to Item 12 of Form S-3, and all references to “</w:t>
      </w:r>
      <w:r>
        <w:rPr>
          <w:rFonts w:ascii="Times New Roman" w:hAnsi="Times New Roman"/>
          <w:i/>
          <w:sz w:val="20"/>
        </w:rPr>
        <w:t>Base Prospectus</w:t>
      </w:r>
      <w:r>
        <w:rPr>
          <w:rFonts w:ascii="Times New Roman" w:hAnsi="Times New Roman"/>
          <w:sz w:val="20"/>
        </w:rPr>
        <w:t xml:space="preserve">” included in this Agreement shall be deemed to include the final form of prospectus, including all documents incorporated therein by reference, included in any such registration statement at the time such registration statement became effective.”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sentence of Section 9 of the Agreement is hereby amended by adding the following notice information for Morgan Stanley &amp; Co. LLC and Scotia Capital (USA) Inc.: </w:t>
            </w:r>
          </w:p>
        </w:tc>
      </w:tr>
    </w:tbl>
    <w:p>
      <w:pPr>
        <w:pStyle w:val="TextBody"/>
        <w:bidi w:val="0"/>
        <w:spacing w:before="120" w:after="0"/>
        <w:jc w:val="left"/>
        <w:rPr/>
      </w:pPr>
      <w:r>
        <w:rPr/>
        <w:t>“</w:t>
      </w:r>
      <w:r>
        <w:rPr>
          <w:rFonts w:ascii="Times New Roman" w:hAnsi="Times New Roman"/>
          <w:sz w:val="20"/>
        </w:rPr>
        <w:t xml:space="preserve">Morgan Stanley &amp; Co. LLC, 1585 Broadway, New York, NY 10036, Attention: Equity Syndicate Desk, with a copy to the Legal Department” </w:t>
      </w:r>
    </w:p>
    <w:p>
      <w:pPr>
        <w:pStyle w:val="TextBody"/>
        <w:bidi w:val="0"/>
        <w:spacing w:before="120" w:after="0"/>
        <w:jc w:val="left"/>
        <w:rPr/>
      </w:pPr>
      <w:r>
        <w:rPr/>
        <w:t>“</w:t>
      </w:r>
      <w:r>
        <w:rPr>
          <w:rFonts w:ascii="Times New Roman" w:hAnsi="Times New Roman"/>
          <w:sz w:val="20"/>
        </w:rPr>
        <w:t xml:space="preserve">Scotia Capital (USA) Inc., 250 Vesey Street, 24th Floor, New York, New York 10281, Attention: US ECM, Email: US.ECM@scotiabank.com, with a copy to: Email: US.Legal@scotiabank.com”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 A to the Agreement is hereby deleted in its entirety and replaced by Schedule A to this Amendment.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Obligations Binding upon Morgan Stanley &amp; Co. LLC and Scotia Capital (USA) Inc.</w:t>
      </w:r>
      <w:r>
        <w:rPr>
          <w:rFonts w:ascii="Times New Roman" w:hAnsi="Times New Roman"/>
          <w:sz w:val="20"/>
        </w:rPr>
        <w:t xml:space="preserve"> Morgan Stanley &amp; Co. LLC and Scotia Capital (USA) Inc. hereby each agree to be bound by the terms of the Agreement and shall be considered to be “Managers” under the Agreement and shall be subject to the obligations and entitled to the benefits thereof to the same extent as if they were parties to the Agreement from and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Waiver</w:t>
      </w:r>
      <w:r>
        <w:rPr>
          <w:rFonts w:ascii="Times New Roman" w:hAnsi="Times New Roman"/>
          <w:sz w:val="20"/>
        </w:rPr>
        <w:t xml:space="preserve">. Solely with respect to the filing of the registration statement, each of the undersigned Existing Managers hereby agree that the non-compliance by the Company with the requirements set forth in Section 4(y) of the Agreement relating to the Company filing a new automatic shelf registration statement prior to the Renewal Deadline is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No Other Amendments</w:t>
      </w:r>
      <w:r>
        <w:rPr>
          <w:rFonts w:ascii="Times New Roman" w:hAnsi="Times New Roman"/>
          <w:sz w:val="20"/>
        </w:rPr>
        <w:t xml:space="preserve">. Except as set forth in Section 1 above, all the terms and provisions of the Agreement shall continue in full force and effect, and nothing contained herein shall affect any rights as to representations or indemnity for sales under the Expired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Counterparts and Electronic Signatures</w:t>
      </w:r>
      <w:r>
        <w:rPr>
          <w:rFonts w:ascii="Times New Roman" w:hAnsi="Times New Roman"/>
          <w:sz w:val="20"/>
        </w:rPr>
        <w:t xml:space="preserve">. This Amendment may be executed by any one or more of the parties hereto in any number of counterparts, each of which shall be deemed to be an original, but all such respective counterparts shall together constitute one and the same instrument. The words “execution,” “signed,” “signature,” “delivery,” and words of like import in or relating to this Amendment or any document to be signed in connection with this Amendment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Law; Construction</w:t>
      </w:r>
      <w:r>
        <w:rPr>
          <w:rFonts w:ascii="Times New Roman" w:hAnsi="Times New Roman"/>
          <w:sz w:val="20"/>
        </w:rPr>
        <w:t xml:space="preserve">. </w:t>
      </w:r>
      <w:r>
        <w:rPr>
          <w:rFonts w:ascii="Times New Roman" w:hAnsi="Times New Roman"/>
          <w:b/>
          <w:sz w:val="20"/>
        </w:rPr>
        <w:t>THIS AMENDMENT AND ANY CLAIM, CONTROVERSY OR DISPUTE ARISING UNDER OR RELATED TO THIS AMENDMENT SHALL BE GOVERNED BY, AND CONSTRUED IN ACCORDANCE WITH, THE LAW OF THE STATE OF NEW YORK, INCLUDING, WITHOUT LIMITATION, SECTION</w:t>
      </w:r>
      <w:r>
        <w:rPr>
          <w:rFonts w:ascii="Times New Roman" w:hAnsi="Times New Roman"/>
          <w:sz w:val="20"/>
        </w:rPr>
        <w:t> </w:t>
      </w:r>
      <w:r>
        <w:rPr>
          <w:rFonts w:ascii="Times New Roman" w:hAnsi="Times New Roman"/>
          <w:b/>
          <w:sz w:val="20"/>
        </w:rPr>
        <w:t>5-1401 OF THE NEW YORK GENERAL OBLIGATIONS LAW.</w:t>
      </w: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among the Company and the Managers, please so indicate in the space provided below for that purpose, whereupon this Amendment and your acceptance shall constitute a binding agreement among the Company and the Managers.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MACERICH COMPANY</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Daniel E. Swanstrom II</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Name:  Daniel E. Swanstrom II.</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Title:   Senior Executive Vice President, Chief Financial Officer and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53"/>
        <w:gridCol w:w="62"/>
        <w:gridCol w:w="3567"/>
      </w:tblGrid>
      <w:tr>
        <w:trPr/>
        <w:tc>
          <w:tcPr>
            <w:tcW w:w="453"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ACCEPTED</w:t>
            </w:r>
            <w:r>
              <w:rPr/>
              <w:t xml:space="preserve">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J.P. MORGAN SECURITIES LLC</w:t>
            </w:r>
          </w:p>
        </w:tc>
      </w:tr>
      <w:tr>
        <w:trPr>
          <w:trHeight w:val="240" w:hRule="atLeast"/>
        </w:trPr>
        <w:tc>
          <w:tcPr>
            <w:tcW w:w="453"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567" w:type="dxa"/>
            <w:tcBorders>
              <w:bottom w:val="single" w:sz="2" w:space="0" w:color="000000"/>
            </w:tcBorders>
            <w:tcMar>
              <w:bottom w:w="28" w:type="dxa"/>
            </w:tcMar>
          </w:tcPr>
          <w:p>
            <w:pPr>
              <w:pStyle w:val="TableContents"/>
              <w:bidi w:val="0"/>
              <w:spacing w:before="0" w:after="283"/>
              <w:jc w:val="left"/>
              <w:rPr/>
            </w:pPr>
            <w:r>
              <w:rPr/>
              <w:t>/s/ Preston T. Ryman</w:t>
            </w:r>
          </w:p>
        </w:tc>
      </w:tr>
      <w:tr>
        <w:trPr/>
        <w:tc>
          <w:tcPr>
            <w:tcW w:w="45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567" w:type="dxa"/>
            <w:tcBorders/>
          </w:tcPr>
          <w:p>
            <w:pPr>
              <w:pStyle w:val="TableContents"/>
              <w:bidi w:val="0"/>
              <w:spacing w:before="0" w:after="283"/>
              <w:jc w:val="left"/>
              <w:rPr/>
            </w:pPr>
            <w:r>
              <w:rPr/>
              <w:t>Name: Preston Ryman</w:t>
            </w:r>
          </w:p>
        </w:tc>
      </w:tr>
      <w:tr>
        <w:trPr/>
        <w:tc>
          <w:tcPr>
            <w:tcW w:w="45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567"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DEUTSCHE BANK SECURITIES INC.</w:t>
            </w:r>
          </w:p>
        </w:tc>
      </w:tr>
      <w:tr>
        <w:trPr>
          <w:trHeight w:val="240" w:hRule="atLeast"/>
        </w:trPr>
        <w:tc>
          <w:tcPr>
            <w:tcW w:w="453"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567" w:type="dxa"/>
            <w:tcBorders>
              <w:bottom w:val="single" w:sz="2" w:space="0" w:color="000000"/>
            </w:tcBorders>
            <w:tcMar>
              <w:bottom w:w="28" w:type="dxa"/>
            </w:tcMar>
          </w:tcPr>
          <w:p>
            <w:pPr>
              <w:pStyle w:val="TableContents"/>
              <w:bidi w:val="0"/>
              <w:spacing w:before="0" w:after="283"/>
              <w:jc w:val="left"/>
              <w:rPr/>
            </w:pPr>
            <w:r>
              <w:rPr/>
              <w:t>/s/ Justin Smolkin</w:t>
            </w:r>
          </w:p>
        </w:tc>
      </w:tr>
      <w:tr>
        <w:trPr/>
        <w:tc>
          <w:tcPr>
            <w:tcW w:w="45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567" w:type="dxa"/>
            <w:tcBorders/>
          </w:tcPr>
          <w:p>
            <w:pPr>
              <w:pStyle w:val="TableContents"/>
              <w:bidi w:val="0"/>
              <w:spacing w:before="0" w:after="283"/>
              <w:jc w:val="left"/>
              <w:rPr/>
            </w:pPr>
            <w:r>
              <w:rPr/>
              <w:t>Name: Justin Smolkin</w:t>
            </w:r>
          </w:p>
        </w:tc>
      </w:tr>
      <w:tr>
        <w:trPr/>
        <w:tc>
          <w:tcPr>
            <w:tcW w:w="45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567" w:type="dxa"/>
            <w:tcBorders/>
          </w:tcPr>
          <w:p>
            <w:pPr>
              <w:pStyle w:val="TableContents"/>
              <w:bidi w:val="0"/>
              <w:spacing w:before="0" w:after="283"/>
              <w:jc w:val="left"/>
              <w:rPr/>
            </w:pPr>
            <w:r>
              <w:rPr/>
              <w:t>Title: Managing Director</w:t>
            </w:r>
          </w:p>
        </w:tc>
      </w:tr>
      <w:tr>
        <w:trPr>
          <w:trHeight w:val="240" w:hRule="atLeast"/>
        </w:trPr>
        <w:tc>
          <w:tcPr>
            <w:tcW w:w="453"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567" w:type="dxa"/>
            <w:tcBorders>
              <w:bottom w:val="single" w:sz="2" w:space="0" w:color="000000"/>
            </w:tcBorders>
            <w:tcMar>
              <w:bottom w:w="28" w:type="dxa"/>
            </w:tcMar>
          </w:tcPr>
          <w:p>
            <w:pPr>
              <w:pStyle w:val="TableContents"/>
              <w:bidi w:val="0"/>
              <w:spacing w:before="0" w:after="283"/>
              <w:jc w:val="left"/>
              <w:rPr/>
            </w:pPr>
            <w:r>
              <w:rPr/>
              <w:t>/s/ Saru Pasupathy</w:t>
            </w:r>
          </w:p>
        </w:tc>
      </w:tr>
      <w:tr>
        <w:trPr/>
        <w:tc>
          <w:tcPr>
            <w:tcW w:w="45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567" w:type="dxa"/>
            <w:tcBorders/>
          </w:tcPr>
          <w:p>
            <w:pPr>
              <w:pStyle w:val="TableContents"/>
              <w:bidi w:val="0"/>
              <w:spacing w:before="0" w:after="283"/>
              <w:jc w:val="left"/>
              <w:rPr/>
            </w:pPr>
            <w:r>
              <w:rPr/>
              <w:t>Name: Saru Pasupathy</w:t>
            </w:r>
          </w:p>
        </w:tc>
      </w:tr>
      <w:tr>
        <w:trPr/>
        <w:tc>
          <w:tcPr>
            <w:tcW w:w="45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567"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to Equity Distribution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BMO CAPITAL MARKETS CORP.</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Eric Benedict</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Eric Benedict</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Co-Head, Global Equity Capital Markets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GOLDMAN SACHS &amp; CO.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Ryan Cunn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Ryan Cunn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MORGAN STANLEY &amp; CO.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(except with respect to Section 3 above)</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Daniel Croitoru</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Daniel Croitoru</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SCOTIA CAPITAL (USA)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(except with respect to Section 3 above)</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Tim Mann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Tim Mann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TD SECURITIES (USA)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Adriano Pierroz</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Adriano Pierroz</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to Equity Distribution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Managers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1 Columbus Circle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BMO Capital Markets Corp. </w:t>
      </w:r>
    </w:p>
    <w:p>
      <w:pPr>
        <w:pStyle w:val="TextBody"/>
        <w:bidi w:val="0"/>
        <w:spacing w:before="0" w:after="0"/>
        <w:jc w:val="left"/>
        <w:rPr>
          <w:rFonts w:ascii="Times New Roman" w:hAnsi="Times New Roman"/>
          <w:sz w:val="20"/>
        </w:rPr>
      </w:pPr>
      <w:r>
        <w:rPr>
          <w:rFonts w:ascii="Times New Roman" w:hAnsi="Times New Roman"/>
          <w:sz w:val="20"/>
        </w:rPr>
        <w:t xml:space="preserve">151 West 42nd Street, 32nd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Scotia Capital (USA) Inc. </w:t>
      </w:r>
    </w:p>
    <w:p>
      <w:pPr>
        <w:pStyle w:val="TextBody"/>
        <w:bidi w:val="0"/>
        <w:spacing w:before="0" w:after="0"/>
        <w:jc w:val="left"/>
        <w:rPr>
          <w:rFonts w:ascii="Times New Roman" w:hAnsi="Times New Roman"/>
          <w:sz w:val="20"/>
        </w:rPr>
      </w:pPr>
      <w:r>
        <w:rPr>
          <w:rFonts w:ascii="Times New Roman" w:hAnsi="Times New Roman"/>
          <w:sz w:val="20"/>
        </w:rPr>
        <w:t xml:space="preserve">250 Vesey Street, 24th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10281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0" w:after="0"/>
        <w:jc w:val="right"/>
        <w:rPr>
          <w:rFonts w:ascii="Times New Roman" w:hAnsi="Times New Roman"/>
          <w:b/>
          <w:sz w:val="20"/>
        </w:rPr>
      </w:pPr>
      <w:bookmarkStart w:id="4" w:name="d169476dex51.htm"/>
      <w:bookmarkStart w:id="5" w:name="ksd169476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4"/>
        <w:gridCol w:w="120"/>
        <w:gridCol w:w="5221"/>
      </w:tblGrid>
      <w:tr>
        <w:trPr/>
        <w:tc>
          <w:tcPr>
            <w:tcW w:w="486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1" w:type="dxa"/>
            <w:tcBorders/>
            <w:vAlign w:val="center"/>
          </w:tcPr>
          <w:p>
            <w:pPr>
              <w:pStyle w:val="TableContents"/>
              <w:bidi w:val="0"/>
              <w:spacing w:before="0" w:after="283"/>
              <w:jc w:val="left"/>
              <w:rPr>
                <w:sz w:val="4"/>
                <w:szCs w:val="4"/>
              </w:rPr>
            </w:pPr>
            <w:r>
              <w:rPr>
                <w:sz w:val="4"/>
                <w:szCs w:val="4"/>
              </w:rPr>
            </w:r>
          </w:p>
        </w:tc>
      </w:tr>
      <w:tr>
        <w:trPr/>
        <w:tc>
          <w:tcPr>
            <w:tcW w:w="4864" w:type="dxa"/>
            <w:tcBorders/>
          </w:tcPr>
          <w:p>
            <w:pPr>
              <w:pStyle w:val="TableContents"/>
              <w:bidi w:val="0"/>
              <w:spacing w:before="0" w:after="283"/>
              <w:jc w:val="left"/>
              <w:rPr/>
            </w:pPr>
            <w:r>
              <w:rPr/>
              <w:drawing>
                <wp:inline distT="0" distB="0" distL="0" distR="0">
                  <wp:extent cx="16668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666875" cy="4857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221" w:type="dxa"/>
            <w:tcBorders/>
            <w:vAlign w:val="bottom"/>
          </w:tcPr>
          <w:p>
            <w:pPr>
              <w:pStyle w:val="TableContents"/>
              <w:bidi w:val="0"/>
              <w:spacing w:before="0" w:after="283"/>
              <w:jc w:val="right"/>
              <w:rPr/>
            </w:pPr>
            <w:r>
              <w:rPr/>
              <w:drawing>
                <wp:inline distT="0" distB="0" distL="0" distR="0">
                  <wp:extent cx="2657475"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2657475" cy="314325"/>
                          </a:xfrm>
                          <a:prstGeom prst="rect">
                            <a:avLst/>
                          </a:prstGeom>
                        </pic:spPr>
                      </pic:pic>
                    </a:graphicData>
                  </a:graphic>
                </wp:inline>
              </w:drawing>
            </w:r>
            <w:r>
              <w:rPr/>
              <w:t xml:space="preserve">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w:t>
      </w:r>
    </w:p>
    <w:p>
      <w:pPr>
        <w:pStyle w:val="TextBody"/>
        <w:bidi w:val="0"/>
        <w:spacing w:before="0" w:after="0"/>
        <w:jc w:val="left"/>
        <w:rPr>
          <w:rFonts w:ascii="Times New Roman" w:hAnsi="Times New Roman"/>
          <w:sz w:val="20"/>
        </w:rPr>
      </w:pPr>
      <w:r>
        <w:rPr>
          <w:rFonts w:ascii="Times New Roman" w:hAnsi="Times New Roman"/>
          <w:sz w:val="20"/>
        </w:rPr>
        <w:t xml:space="preserve">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California 90401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 xml:space="preserve">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Maryland counsel to The Macerich Company, a Maryland corporation (the “Company”), in connection with certain matters of Maryland law arising out of the registration by the Company of shares of its common stock, par value $0.01 per share (“Common Stock”), having an aggregate offering price of up to $500,000,000 (the “Shares”), which may be sold from time to time pursuant to an Equity Distribution Agreement, dated as of November 12, 2024, by and among the Company and (a) J.P. Morgan Securities LLC, (b) Deutsche Bank Securities Inc., (c) BMO Capital Markets Corp., (d) Goldman Sachs &amp; Co. LLC and (e) TD Securities (USA) LLC, as amended by Amendment No. 1 to the Equity Distribution Agreement, dated as of August 5, 2026 (as amended, the “Equity Distribution Agreement”) to add Morgan Stanley &amp; Co. LLC and Scotia Capital (USA), Inc. This firm did not participate in the drafting or negotiation of the Equity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bidi w:val="0"/>
        <w:spacing w:before="120" w:after="0"/>
        <w:jc w:val="left"/>
        <w:rPr>
          <w:rFonts w:ascii="Times New Roman" w:hAnsi="Times New Roman"/>
          <w:sz w:val="20"/>
        </w:rPr>
      </w:pPr>
      <w:r>
        <w:rPr>
          <w:rFonts w:ascii="Times New Roman" w:hAnsi="Times New Roman"/>
          <w:sz w:val="20"/>
        </w:rPr>
        <w:t xml:space="preserve">1. The Registration Statement on Form S-3 (the “Registration Statement”), in the form in which it was transmitted to the U.S. Securities and Exchange Commission (the “Commission”) for filing on August 5, 2026 under the Securities Act of 1933, as amended (the “1933 Act”); </w:t>
      </w:r>
    </w:p>
    <w:p>
      <w:pPr>
        <w:pStyle w:val="TextBody"/>
        <w:bidi w:val="0"/>
        <w:spacing w:before="240" w:after="0"/>
        <w:jc w:val="left"/>
        <w:rPr>
          <w:rFonts w:ascii="Times New Roman" w:hAnsi="Times New Roman"/>
          <w:sz w:val="20"/>
        </w:rPr>
      </w:pPr>
      <w:r>
        <w:rPr>
          <w:rFonts w:ascii="Times New Roman" w:hAnsi="Times New Roman"/>
          <w:sz w:val="20"/>
        </w:rPr>
        <w:t xml:space="preserve">2. The prospectus, dated August 5, 2026, that forms a part of the Registration Statement and the prospectus supplement, dated August 5, 2026 (the “Prospectus Supplement”), in the form in which it was transmitted to the Commission for filing pursuant to Rule 424(b) of the General Rules and Regulations promulgated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3. The charter of the Company (the “Charter”), certified by the State Department of Assessments and Taxation of Maryland (the “SDAT”);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35785" cy="5353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835785" cy="53530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The Amended and Restated Bylaws of the Company,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A certificate of the SDAT as to the good standing of the Company, dated as of a recent date; </w:t>
      </w:r>
    </w:p>
    <w:p>
      <w:pPr>
        <w:pStyle w:val="TextBody"/>
        <w:bidi w:val="0"/>
        <w:spacing w:before="240" w:after="0"/>
        <w:jc w:val="left"/>
        <w:rPr>
          <w:rFonts w:ascii="Times New Roman" w:hAnsi="Times New Roman"/>
          <w:sz w:val="20"/>
        </w:rPr>
      </w:pPr>
      <w:r>
        <w:rPr>
          <w:rFonts w:ascii="Times New Roman" w:hAnsi="Times New Roman"/>
          <w:sz w:val="20"/>
        </w:rPr>
        <w:t xml:space="preserve">6. Resolutions adopted by the Board of Directors of the Company (the “Resolutions”), relating to, among other matters, (a) the authorization of the execution and delivery by the Company of the Equity Distribution Agreement and (b) the sale and issuance of the Shares,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7. The Equity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8. A certificate executed by an officer of the Company, dated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9. Such other documents and matters as we have deemed necessary or appropriate to express the opinion set forth below, subject to the assumptions, limitations and qualifications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another person, is legally competent to do so. </w:t>
      </w:r>
    </w:p>
    <w:p>
      <w:pPr>
        <w:pStyle w:val="TextBody"/>
        <w:bidi w:val="0"/>
        <w:spacing w:before="24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p>
    <w:p>
      <w:pPr>
        <w:pStyle w:val="TextBody"/>
        <w:bidi w:val="0"/>
        <w:spacing w:before="24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p>
    <w:p>
      <w:pPr>
        <w:pStyle w:val="TextBody"/>
        <w:bidi w:val="0"/>
        <w:spacing w:before="24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66875"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666875" cy="4857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The Shares will not be issued or transferred in violation of the restrictions or limitations contained in Article EIGHTH of the Charter. </w:t>
      </w:r>
    </w:p>
    <w:p>
      <w:pPr>
        <w:pStyle w:val="TextBody"/>
        <w:bidi w:val="0"/>
        <w:spacing w:before="240" w:after="0"/>
        <w:jc w:val="left"/>
        <w:rPr>
          <w:rFonts w:ascii="Times New Roman" w:hAnsi="Times New Roman"/>
          <w:sz w:val="20"/>
        </w:rPr>
      </w:pPr>
      <w:r>
        <w:rPr>
          <w:rFonts w:ascii="Times New Roman" w:hAnsi="Times New Roman"/>
          <w:sz w:val="20"/>
        </w:rPr>
        <w:t xml:space="preserve">6. Upon the issuance of any of the Shares, the total number of shares of Common Stock issued and outstanding will not exceed the total number of shares of Common Stock that the Company is then authorized to issue under the Charter.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duly incorporated and existing under and by virtue of the laws of the State of Maryland and is in good standing with the SDAT. </w:t>
      </w:r>
    </w:p>
    <w:p>
      <w:pPr>
        <w:pStyle w:val="TextBody"/>
        <w:bidi w:val="0"/>
        <w:spacing w:before="240" w:after="0"/>
        <w:jc w:val="left"/>
        <w:rPr>
          <w:rFonts w:ascii="Times New Roman" w:hAnsi="Times New Roman"/>
          <w:sz w:val="20"/>
        </w:rPr>
      </w:pPr>
      <w:r>
        <w:rPr>
          <w:rFonts w:ascii="Times New Roman" w:hAnsi="Times New Roman"/>
          <w:sz w:val="20"/>
        </w:rPr>
        <w:t xml:space="preserve">2. The issuance of the Shares has been duly authorized and, when issued and delivered by the Company in accordance with the Prospectus Supplement, the Resolutions and the Equity Distribution Agreement against payment of the consideration set forth therein,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any other law. We express no opinion as to the applicability or effect of federal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66875"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1666875" cy="4857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Venable LLP</w:t>
            </w:r>
          </w:p>
        </w:tc>
      </w:tr>
    </w:tbl>
    <w:p>
      <w:pPr>
        <w:pStyle w:val="TextBody"/>
        <w:bidi w:val="0"/>
        <w:spacing w:before="0" w:after="0"/>
        <w:jc w:val="right"/>
        <w:rPr>
          <w:rFonts w:ascii="Times New Roman" w:hAnsi="Times New Roman"/>
          <w:b/>
          <w:sz w:val="20"/>
        </w:rPr>
      </w:pPr>
      <w:bookmarkStart w:id="6" w:name="d169476dex52.htm"/>
      <w:bookmarkStart w:id="7" w:name="ksd169476dex52"/>
      <w:bookmarkEnd w:id="6"/>
      <w:bookmarkEnd w:id="7"/>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77"/>
        <w:gridCol w:w="125"/>
        <w:gridCol w:w="2147"/>
        <w:gridCol w:w="125"/>
        <w:gridCol w:w="4031"/>
      </w:tblGrid>
      <w:tr>
        <w:trPr/>
        <w:tc>
          <w:tcPr>
            <w:tcW w:w="377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031" w:type="dxa"/>
            <w:tcBorders/>
            <w:vAlign w:val="center"/>
          </w:tcPr>
          <w:p>
            <w:pPr>
              <w:pStyle w:val="TableContents"/>
              <w:bidi w:val="0"/>
              <w:spacing w:before="0" w:after="283"/>
              <w:jc w:val="left"/>
              <w:rPr>
                <w:sz w:val="4"/>
                <w:szCs w:val="4"/>
              </w:rPr>
            </w:pPr>
            <w:r>
              <w:rPr>
                <w:sz w:val="4"/>
                <w:szCs w:val="4"/>
              </w:rPr>
            </w:r>
          </w:p>
        </w:tc>
      </w:tr>
      <w:tr>
        <w:trPr/>
        <w:tc>
          <w:tcPr>
            <w:tcW w:w="3777"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888490" cy="546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1888490" cy="546100"/>
                          </a:xfrm>
                          <a:prstGeom prst="rect">
                            <a:avLst/>
                          </a:prstGeom>
                        </pic:spPr>
                      </pic:pic>
                    </a:graphicData>
                  </a:graphic>
                </wp:inline>
              </w:drawing>
            </w:r>
            <w:r>
              <w:rPr/>
              <w:t xml:space="preserve"> </w:t>
            </w:r>
          </w:p>
          <w:p>
            <w:pPr>
              <w:pStyle w:val="TableContents"/>
              <w:bidi w:val="0"/>
              <w:spacing w:before="0" w:after="20"/>
              <w:jc w:val="left"/>
              <w:rPr/>
            </w:pPr>
            <w:r>
              <w:rPr/>
              <w:t> </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2147" w:type="dxa"/>
            <w:tcBorders>
              <w:bottom w:val="single" w:sz="2" w:space="0" w:color="000000"/>
            </w:tcBorders>
            <w:tcMar>
              <w:bottom w:w="28" w:type="dxa"/>
            </w:tcMar>
          </w:tcPr>
          <w:p>
            <w:pPr>
              <w:pStyle w:val="TableContents"/>
              <w:bidi w:val="0"/>
              <w:spacing w:before="0" w:after="283"/>
              <w:jc w:val="left"/>
              <w:rPr/>
            </w:pPr>
            <w:r>
              <w:rPr/>
              <w:t> </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4031" w:type="dxa"/>
            <w:tcBorders>
              <w:bottom w:val="single" w:sz="2" w:space="0" w:color="000000"/>
            </w:tcBorders>
            <w:tcMar>
              <w:bottom w:w="28" w:type="dxa"/>
            </w:tcMar>
            <w:vAlign w:val="bottom"/>
          </w:tcPr>
          <w:p>
            <w:pPr>
              <w:pStyle w:val="TableContents"/>
              <w:bidi w:val="0"/>
              <w:spacing w:before="0" w:after="0"/>
              <w:jc w:val="right"/>
              <w:rPr/>
            </w:pPr>
            <w:r>
              <w:rPr/>
              <w:drawing>
                <wp:inline distT="0" distB="0" distL="0" distR="0">
                  <wp:extent cx="2552700" cy="47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2552700" cy="476250"/>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w:t>
      </w:r>
    </w:p>
    <w:p>
      <w:pPr>
        <w:pStyle w:val="TextBody"/>
        <w:bidi w:val="0"/>
        <w:spacing w:before="0" w:after="0"/>
        <w:jc w:val="left"/>
        <w:rPr>
          <w:rFonts w:ascii="Times New Roman" w:hAnsi="Times New Roman"/>
          <w:sz w:val="20"/>
        </w:rPr>
      </w:pPr>
      <w:r>
        <w:rPr>
          <w:rFonts w:ascii="Times New Roman" w:hAnsi="Times New Roman"/>
          <w:sz w:val="20"/>
        </w:rPr>
        <w:t xml:space="preserve">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California 90401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Registration Statement on Form S-3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Maryland counsel to The Macerich Company, a Maryland corporation (the “Company”), in connection with certain matters of Maryland law arising out of the issuance of up to 122,595 shares (the “Shares”) of common stock of the Company, par value $0.01 per share (“Common Stock”), covered by the above-referenced Registration Statement on Form S-3 (as amended or supplemented, the “Registration Statement”) and the Prospectus Supplement (as hereinafter defined), each filed by the Company with the U.S. Securities and Exchange Commission (the “Commission”) under the Securities Act of 1933, as amended (the “1933 Act”), on August 5, 2026. A portion of the Shares (the “OP Shares”) are issuable from time to time by the Company to the holders of common units of limited partnership interest (“OP Common Units”) in The Macerich Partnership, L.P., a Delaware limited partnership (the “Operating Partnership”), which may be issued upon conversion of Series D Preferred Units of limited partnership interest in the Operating Partnership into OP Common Units and redeemed by the Company for the OP Shares. A portion of the Shares (the “MACWH Shares”) are issuable from time to time by the Company to the holders of (a) common units of limited partnership interest (“MACWH Common Units”) in MACWH, LP, a Delaware limited partnership (“MACWH”), outstanding (the “Outstanding MACWH Common Units”) as of the date of the Prospectus Supplement and (b) MACWH Common Units (the “New MACWH Common Units”), which may be issued upon conversion of the Class A Convertible Preferred Units of limited partnership interest in MACWH (“MACWH CPUs”) into MACWH Common Units, in each case upon redemption by the Company of the MACWH Common Units for the MACWH Shares. A portion of the Shares (the “MACWH CPU Shares”) are issuable from time to time by the Company to the holders of MACWH CPUs which may be redeemed by the Company for the MACWH CPU Shares. The OP Shares, the MACWH Shares and the MACWH CPU Shares are collectively referred to herein as the “Shares.”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bidi w:val="0"/>
        <w:spacing w:before="120" w:after="0"/>
        <w:jc w:val="left"/>
        <w:rPr>
          <w:rFonts w:ascii="Times New Roman" w:hAnsi="Times New Roman"/>
          <w:sz w:val="20"/>
        </w:rPr>
      </w:pPr>
      <w:r>
        <w:rPr>
          <w:rFonts w:ascii="Times New Roman" w:hAnsi="Times New Roman"/>
          <w:sz w:val="20"/>
        </w:rPr>
        <w:t xml:space="preserve">1. The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88490" cy="546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1888490" cy="546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 The Prospectus, dated August 5, 2026, as supplemented by a Prospectus Supplement, dated August 5, 2026 (the “Prospectus Supplement”), filed with the Commission pursuant to Rule 424(b) of the General Rules and Regulations promulgated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3. The charter of the Company (the “Charter”), certified by the State Department of Assessments and Taxation of Maryland (the “SDAT”); </w:t>
      </w:r>
    </w:p>
    <w:p>
      <w:pPr>
        <w:pStyle w:val="TextBody"/>
        <w:bidi w:val="0"/>
        <w:spacing w:before="240" w:after="0"/>
        <w:jc w:val="left"/>
        <w:rPr>
          <w:rFonts w:ascii="Times New Roman" w:hAnsi="Times New Roman"/>
          <w:sz w:val="20"/>
        </w:rPr>
      </w:pPr>
      <w:r>
        <w:rPr>
          <w:rFonts w:ascii="Times New Roman" w:hAnsi="Times New Roman"/>
          <w:sz w:val="20"/>
        </w:rPr>
        <w:t xml:space="preserve">4. The Amended and Restated Bylaws of the Company,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Resolutions adopted by the Board of Directors of the Company relating to, among other matters, the registration and issuance of the Shares (the “Resolutions”),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 A certificate of the SDAT as to the good standing of the Company, dated as of a recent date; </w:t>
      </w:r>
    </w:p>
    <w:p>
      <w:pPr>
        <w:pStyle w:val="TextBody"/>
        <w:bidi w:val="0"/>
        <w:spacing w:before="240" w:after="0"/>
        <w:jc w:val="left"/>
        <w:rPr>
          <w:rFonts w:ascii="Times New Roman" w:hAnsi="Times New Roman"/>
          <w:sz w:val="20"/>
        </w:rPr>
      </w:pPr>
      <w:r>
        <w:rPr>
          <w:rFonts w:ascii="Times New Roman" w:hAnsi="Times New Roman"/>
          <w:sz w:val="20"/>
        </w:rPr>
        <w:t xml:space="preserve">7. The Amended and Restated Limited Partnership Agreement of the Operating Partnership, as amended (the “OP Partnership Agreement”),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 The 2005 Amended and Restated Agreement of Limited Partnership of MACWH (the “MACWH Partnership Agreement”),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9. A certificate executed by an officer of the Company, dated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10. Such other documents and matters as we have deemed necessary or appropriate to express the opinion set forth below, subject to the assumptions, limitations and qualifications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another person, is legally competent to do so. </w:t>
      </w:r>
    </w:p>
    <w:p>
      <w:pPr>
        <w:pStyle w:val="TextBody"/>
        <w:bidi w:val="0"/>
        <w:spacing w:before="24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88490" cy="546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1"/>
                    <a:stretch>
                      <a:fillRect/>
                    </a:stretch>
                  </pic:blipFill>
                  <pic:spPr bwMode="auto">
                    <a:xfrm>
                      <a:off x="0" y="0"/>
                      <a:ext cx="1888490" cy="546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p>
    <w:p>
      <w:pPr>
        <w:pStyle w:val="TextBody"/>
        <w:bidi w:val="0"/>
        <w:spacing w:before="24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5. The Shares will not be issued or transferred in violation of the restrictions or limitations contained in Article EIGHTH of the Charter. </w:t>
      </w:r>
    </w:p>
    <w:p>
      <w:pPr>
        <w:pStyle w:val="TextBody"/>
        <w:bidi w:val="0"/>
        <w:spacing w:before="240" w:after="0"/>
        <w:jc w:val="left"/>
        <w:rPr>
          <w:rFonts w:ascii="Times New Roman" w:hAnsi="Times New Roman"/>
          <w:sz w:val="20"/>
        </w:rPr>
      </w:pPr>
      <w:r>
        <w:rPr>
          <w:rFonts w:ascii="Times New Roman" w:hAnsi="Times New Roman"/>
          <w:sz w:val="20"/>
        </w:rPr>
        <w:t xml:space="preserve">6. The OP Common Units will be validly issued in accordance with the terms of the OP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7. The Outstanding MACWH Common Units and the MACWH CPUs have been, and the New MACWH Common Units will be, validly issued in accordance with the terms of the MACWH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8. Upon the issuance of any of the Shares, the total number of shares of Common Stock issued and outstanding will not exceed the total number of shares of Common Stock that the Company is then authorized to issue under the Charter.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duly incorporated and existing under and by virtue of the laws of the State of Maryland and is in good standing with the SDAT. </w:t>
      </w:r>
    </w:p>
    <w:p>
      <w:pPr>
        <w:pStyle w:val="TextBody"/>
        <w:bidi w:val="0"/>
        <w:spacing w:before="240" w:after="0"/>
        <w:jc w:val="left"/>
        <w:rPr>
          <w:rFonts w:ascii="Times New Roman" w:hAnsi="Times New Roman"/>
          <w:sz w:val="20"/>
        </w:rPr>
      </w:pPr>
      <w:r>
        <w:rPr>
          <w:rFonts w:ascii="Times New Roman" w:hAnsi="Times New Roman"/>
          <w:sz w:val="20"/>
        </w:rPr>
        <w:t xml:space="preserve">2. The issuance of the OP Shares has been duly authorized and, when and to the extent issued in accordance with the Resolutions, the Prospectus Supplement and the OP Partnership Agreement, the OP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3. The issuance of the MACWH Shares has been duly authorized and, when and to the extent issued in accordance with the Resolutions, the Prospectus Supplement and the MACWH Partnership Agreement, the MACWH Shares will be validly issued, fully paid and nonassessable.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88490" cy="546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2"/>
                    <a:stretch>
                      <a:fillRect/>
                    </a:stretch>
                  </pic:blipFill>
                  <pic:spPr bwMode="auto">
                    <a:xfrm>
                      <a:off x="0" y="0"/>
                      <a:ext cx="1888490" cy="546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The issuance of the MACWH CPU Shares has been duly authorized and, when and to the extent issued in accordance with the Resolutions, the Prospectus Supplement and the MACWH Partnership Agreement, the MACWH CPU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United States federal law or the laws of any other jurisdiction. We express no opinion as to the applicability or effect of federal or state securities laws, including the securities laws of the State of Maryland, federal or state laws regarding fraudulent transfers or the laws, codes or regulations of any municipality or other local jurisdiction.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 Venable LLP</w:t>
            </w:r>
          </w:p>
        </w:tc>
      </w:tr>
    </w:tbl>
    <w:p>
      <w:pPr>
        <w:pStyle w:val="TextBody"/>
        <w:bidi w:val="0"/>
        <w:spacing w:before="0" w:after="0"/>
        <w:jc w:val="right"/>
        <w:rPr>
          <w:rFonts w:ascii="Times New Roman" w:hAnsi="Times New Roman"/>
          <w:b/>
          <w:sz w:val="20"/>
        </w:rPr>
      </w:pPr>
      <w:bookmarkStart w:id="8" w:name="d169476dex53.htm"/>
      <w:bookmarkStart w:id="9" w:name="ksd169476dex53"/>
      <w:bookmarkEnd w:id="8"/>
      <w:bookmarkEnd w:id="9"/>
      <w:r>
        <w:rPr>
          <w:rFonts w:ascii="Times New Roman" w:hAnsi="Times New Roman"/>
          <w:b/>
          <w:sz w:val="20"/>
        </w:rPr>
        <w:t xml:space="preserve">Exhibit 5.3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4"/>
        <w:gridCol w:w="125"/>
        <w:gridCol w:w="2263"/>
        <w:gridCol w:w="125"/>
        <w:gridCol w:w="4038"/>
      </w:tblGrid>
      <w:tr>
        <w:trPr/>
        <w:tc>
          <w:tcPr>
            <w:tcW w:w="365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r>
      <w:tr>
        <w:trPr/>
        <w:tc>
          <w:tcPr>
            <w:tcW w:w="3654"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652270" cy="47752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3"/>
                          <a:stretch>
                            <a:fillRect/>
                          </a:stretch>
                        </pic:blipFill>
                        <pic:spPr bwMode="auto">
                          <a:xfrm>
                            <a:off x="0" y="0"/>
                            <a:ext cx="1652270" cy="477520"/>
                          </a:xfrm>
                          <a:prstGeom prst="rect">
                            <a:avLst/>
                          </a:prstGeom>
                        </pic:spPr>
                      </pic:pic>
                    </a:graphicData>
                  </a:graphic>
                </wp:inline>
              </w:drawing>
            </w:r>
            <w:r>
              <w:rPr/>
              <w:t xml:space="preserve"> </w:t>
            </w:r>
          </w:p>
          <w:p>
            <w:pPr>
              <w:pStyle w:val="TableContents"/>
              <w:bidi w:val="0"/>
              <w:spacing w:before="0" w:after="20"/>
              <w:jc w:val="left"/>
              <w:rPr/>
            </w:pPr>
            <w:r>
              <w:rPr/>
              <w:t> </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2263" w:type="dxa"/>
            <w:tcBorders>
              <w:bottom w:val="single" w:sz="2" w:space="0" w:color="000000"/>
            </w:tcBorders>
            <w:tcMar>
              <w:bottom w:w="28" w:type="dxa"/>
            </w:tcMar>
          </w:tcPr>
          <w:p>
            <w:pPr>
              <w:pStyle w:val="TableContents"/>
              <w:bidi w:val="0"/>
              <w:spacing w:before="0" w:after="283"/>
              <w:jc w:val="left"/>
              <w:rPr/>
            </w:pPr>
            <w:r>
              <w:rPr/>
              <w:t> </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4038" w:type="dxa"/>
            <w:tcBorders>
              <w:bottom w:val="single" w:sz="2" w:space="0" w:color="000000"/>
            </w:tcBorders>
            <w:tcMar>
              <w:bottom w:w="28" w:type="dxa"/>
            </w:tcMar>
            <w:vAlign w:val="bottom"/>
          </w:tcPr>
          <w:p>
            <w:pPr>
              <w:pStyle w:val="TableContents"/>
              <w:bidi w:val="0"/>
              <w:spacing w:before="0" w:after="0"/>
              <w:jc w:val="right"/>
              <w:rPr/>
            </w:pPr>
            <w:r>
              <w:rPr/>
              <w:drawing>
                <wp:inline distT="0" distB="0" distL="0" distR="0">
                  <wp:extent cx="2552700" cy="47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4"/>
                          <a:stretch>
                            <a:fillRect/>
                          </a:stretch>
                        </pic:blipFill>
                        <pic:spPr bwMode="auto">
                          <a:xfrm>
                            <a:off x="0" y="0"/>
                            <a:ext cx="2552700" cy="476250"/>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w:t>
      </w:r>
    </w:p>
    <w:p>
      <w:pPr>
        <w:pStyle w:val="TextBody"/>
        <w:bidi w:val="0"/>
        <w:spacing w:before="0" w:after="0"/>
        <w:jc w:val="left"/>
        <w:rPr>
          <w:rFonts w:ascii="Times New Roman" w:hAnsi="Times New Roman"/>
          <w:sz w:val="20"/>
        </w:rPr>
      </w:pPr>
      <w:r>
        <w:rPr>
          <w:rFonts w:ascii="Times New Roman" w:hAnsi="Times New Roman"/>
          <w:sz w:val="20"/>
        </w:rPr>
        <w:t xml:space="preserve">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California 90401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Maryland counsel to The Macerich Company, a Maryland corporation (the “Company”), in connection with certain matters of Maryland law arising out of the registration of up to 148,305 shares (the “Shares”) of the Company’s common stock, par value $0.01 per share (“Common Stock”), covered by the above-referenced Registration Statement on Form S-3 (as amended or supplemented, the “Registration Statement”) and the Prospectus Supplement (as hereinafter defined), each filed by the Company with the U.S. Securities and Exchange Commission (the “Commission”) under the Securities Act of 1933, as amended (the “1933 Act”), on August 5, 2026. The Shares may be issued upon redemption of common units of limited partnership interest (“Common OP Units”) in The Macerich Partnership, L.P., a Delaware limited partnership (the “Operating Partnership”), distributed (collectively, the “Distribution”) to holders of Common OP Units and long term incentive plan units (“LTIP Units” and, collectively with the Common OP Units, the “Units”) of limited partnership interest in the Operating Partnership.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bidi w:val="0"/>
        <w:spacing w:before="120" w:after="0"/>
        <w:jc w:val="left"/>
        <w:rPr>
          <w:rFonts w:ascii="Times New Roman" w:hAnsi="Times New Roman"/>
          <w:sz w:val="20"/>
        </w:rPr>
      </w:pPr>
      <w:r>
        <w:rPr>
          <w:rFonts w:ascii="Times New Roman" w:hAnsi="Times New Roman"/>
          <w:sz w:val="20"/>
        </w:rPr>
        <w:t xml:space="preserve">1.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The Prospectus, dated August 5, 2026, as supplemented by a Prospectus Supplement, dated August 5, 2026 (the “Prospectus Supplement”), filed with the Commission pursuant to Rule 424(b) of the General Rules and Regulations promulgated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3. The charter of the Company (the “Charter”), certified by the State Department of Assessments and Taxation of Maryland (the “SDAT”); </w:t>
      </w:r>
    </w:p>
    <w:p>
      <w:pPr>
        <w:pStyle w:val="TextBody"/>
        <w:bidi w:val="0"/>
        <w:spacing w:before="240" w:after="0"/>
        <w:jc w:val="left"/>
        <w:rPr>
          <w:rFonts w:ascii="Times New Roman" w:hAnsi="Times New Roman"/>
          <w:sz w:val="20"/>
        </w:rPr>
      </w:pPr>
      <w:r>
        <w:rPr>
          <w:rFonts w:ascii="Times New Roman" w:hAnsi="Times New Roman"/>
          <w:sz w:val="20"/>
        </w:rPr>
        <w:t xml:space="preserve">4. The Amended and Restated Bylaws of the Company, certified as of the date hereof by an officer of the Company;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2270" cy="47752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5"/>
                    <a:stretch>
                      <a:fillRect/>
                    </a:stretch>
                  </pic:blipFill>
                  <pic:spPr bwMode="auto">
                    <a:xfrm>
                      <a:off x="0" y="0"/>
                      <a:ext cx="1652270" cy="4775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Resolutions (the “Resolutions”) adopted by the Board of Directors of the Company, relating to the authorization of the Distribution and the registration and issuance of the Shares,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 The Amended and Restated Limited Partnership Agreement of the Operating Partnership, as amended (the “Partnership Agreement”),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7. The Company’s 2003 Equity Incentive Plan, as amended and restated as of May 31, 2023 (the “Plan”); </w:t>
      </w:r>
    </w:p>
    <w:p>
      <w:pPr>
        <w:pStyle w:val="TextBody"/>
        <w:bidi w:val="0"/>
        <w:spacing w:before="240" w:after="0"/>
        <w:jc w:val="left"/>
        <w:rPr>
          <w:rFonts w:ascii="Times New Roman" w:hAnsi="Times New Roman"/>
          <w:sz w:val="20"/>
        </w:rPr>
      </w:pPr>
      <w:r>
        <w:rPr>
          <w:rFonts w:ascii="Times New Roman" w:hAnsi="Times New Roman"/>
          <w:sz w:val="20"/>
        </w:rPr>
        <w:t xml:space="preserve">8. A certificate of the SDAT as to the good standing of the Company, dated as of a recent date; </w:t>
      </w:r>
    </w:p>
    <w:p>
      <w:pPr>
        <w:pStyle w:val="TextBody"/>
        <w:bidi w:val="0"/>
        <w:spacing w:before="240" w:after="0"/>
        <w:jc w:val="left"/>
        <w:rPr>
          <w:rFonts w:ascii="Times New Roman" w:hAnsi="Times New Roman"/>
          <w:sz w:val="20"/>
        </w:rPr>
      </w:pPr>
      <w:r>
        <w:rPr>
          <w:rFonts w:ascii="Times New Roman" w:hAnsi="Times New Roman"/>
          <w:sz w:val="20"/>
        </w:rPr>
        <w:t xml:space="preserve">9. A certificate executed by an officer of the Company, dated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10. Such other documents and matters as we have deemed necessary or appropriate to express the opinion set forth below, subject to the assumptions, limitations and qualifications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another person, is legally competent to do so. </w:t>
      </w:r>
    </w:p>
    <w:p>
      <w:pPr>
        <w:pStyle w:val="TextBody"/>
        <w:bidi w:val="0"/>
        <w:spacing w:before="24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p>
    <w:p>
      <w:pPr>
        <w:pStyle w:val="TextBody"/>
        <w:bidi w:val="0"/>
        <w:spacing w:before="24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p>
    <w:p>
      <w:pPr>
        <w:pStyle w:val="TextBody"/>
        <w:bidi w:val="0"/>
        <w:spacing w:before="24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2270" cy="47752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6"/>
                    <a:stretch>
                      <a:fillRect/>
                    </a:stretch>
                  </pic:blipFill>
                  <pic:spPr bwMode="auto">
                    <a:xfrm>
                      <a:off x="0" y="0"/>
                      <a:ext cx="1652270" cy="4775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None of the Shares will be issued, sold or transferred in violation of the restrictions on ownership and transfer contained in Article EIGHTH of the Charter. </w:t>
      </w:r>
    </w:p>
    <w:p>
      <w:pPr>
        <w:pStyle w:val="TextBody"/>
        <w:bidi w:val="0"/>
        <w:spacing w:before="240" w:after="0"/>
        <w:jc w:val="left"/>
        <w:rPr>
          <w:rFonts w:ascii="Times New Roman" w:hAnsi="Times New Roman"/>
          <w:sz w:val="20"/>
        </w:rPr>
      </w:pPr>
      <w:r>
        <w:rPr>
          <w:rFonts w:ascii="Times New Roman" w:hAnsi="Times New Roman"/>
          <w:sz w:val="20"/>
        </w:rPr>
        <w:t xml:space="preserve">6. The Units were duly authorized and validly issued by the Operating Partnership.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duly incorporated and existing under and by virtue of the laws of the State of Maryland and is in good standing with the SDAT. </w:t>
      </w:r>
    </w:p>
    <w:p>
      <w:pPr>
        <w:pStyle w:val="TextBody"/>
        <w:bidi w:val="0"/>
        <w:spacing w:before="240" w:after="0"/>
        <w:jc w:val="left"/>
        <w:rPr>
          <w:rFonts w:ascii="Times New Roman" w:hAnsi="Times New Roman"/>
          <w:sz w:val="20"/>
        </w:rPr>
      </w:pPr>
      <w:r>
        <w:rPr>
          <w:rFonts w:ascii="Times New Roman" w:hAnsi="Times New Roman"/>
          <w:sz w:val="20"/>
        </w:rPr>
        <w:t xml:space="preserve">2. The Shares have been duly authorized and, when and if issued upon redemption of the Units in accordance with the Resolutions, the Partnership Agreement and the Plan, as applicable (assuming that, upon the issuance of any Shares, the total number of shares of Common Stock issued and outstanding will not exceed the total number of shares of Common Stock that the Company is then authorized to issue under the Charter),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United States federal law or the laws of any other jurisdiction. We express no opinion as to the applicability or effect of federal or state securities laws, including the securities laws of the State of Maryland, federal or state laws regarding fraudulent transfers or the laws, codes or regulations of any municipality or other local jurisdiction.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2270" cy="47752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7"/>
                    <a:stretch>
                      <a:fillRect/>
                    </a:stretch>
                  </pic:blipFill>
                  <pic:spPr bwMode="auto">
                    <a:xfrm>
                      <a:off x="0" y="0"/>
                      <a:ext cx="1652270" cy="4775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 Venable LLP</w:t>
            </w:r>
          </w:p>
        </w:tc>
      </w:tr>
    </w:tbl>
    <w:p>
      <w:pPr>
        <w:pStyle w:val="TextBody"/>
        <w:bidi w:val="0"/>
        <w:spacing w:before="0" w:after="0"/>
        <w:jc w:val="right"/>
        <w:rPr>
          <w:rFonts w:ascii="Times New Roman" w:hAnsi="Times New Roman"/>
          <w:b/>
          <w:sz w:val="20"/>
        </w:rPr>
      </w:pPr>
      <w:bookmarkStart w:id="10" w:name="d169476dex54.htm"/>
      <w:bookmarkStart w:id="11" w:name="ksd169476dex54"/>
      <w:bookmarkEnd w:id="10"/>
      <w:bookmarkEnd w:id="11"/>
      <w:r>
        <w:rPr>
          <w:rFonts w:ascii="Times New Roman" w:hAnsi="Times New Roman"/>
          <w:b/>
          <w:sz w:val="20"/>
        </w:rPr>
        <w:t xml:space="preserve">Exhibit 5.4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4"/>
        <w:gridCol w:w="120"/>
        <w:gridCol w:w="5221"/>
      </w:tblGrid>
      <w:tr>
        <w:trPr/>
        <w:tc>
          <w:tcPr>
            <w:tcW w:w="486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21" w:type="dxa"/>
            <w:tcBorders/>
            <w:vAlign w:val="center"/>
          </w:tcPr>
          <w:p>
            <w:pPr>
              <w:pStyle w:val="TableContents"/>
              <w:bidi w:val="0"/>
              <w:spacing w:before="0" w:after="283"/>
              <w:jc w:val="left"/>
              <w:rPr>
                <w:sz w:val="4"/>
                <w:szCs w:val="4"/>
              </w:rPr>
            </w:pPr>
            <w:r>
              <w:rPr>
                <w:sz w:val="4"/>
                <w:szCs w:val="4"/>
              </w:rPr>
            </w:r>
          </w:p>
        </w:tc>
      </w:tr>
      <w:tr>
        <w:trPr/>
        <w:tc>
          <w:tcPr>
            <w:tcW w:w="4864" w:type="dxa"/>
            <w:tcBorders/>
            <w:vAlign w:val="center"/>
          </w:tcPr>
          <w:p>
            <w:pPr>
              <w:pStyle w:val="TableContents"/>
              <w:bidi w:val="0"/>
              <w:spacing w:before="0" w:after="283"/>
              <w:jc w:val="left"/>
              <w:rPr/>
            </w:pPr>
            <w:r>
              <w:rPr/>
              <w:drawing>
                <wp:inline distT="0" distB="0" distL="0" distR="0">
                  <wp:extent cx="1666875" cy="4857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8"/>
                          <a:stretch>
                            <a:fillRect/>
                          </a:stretch>
                        </pic:blipFill>
                        <pic:spPr bwMode="auto">
                          <a:xfrm>
                            <a:off x="0" y="0"/>
                            <a:ext cx="1666875" cy="4857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221" w:type="dxa"/>
            <w:tcBorders/>
            <w:vAlign w:val="bottom"/>
          </w:tcPr>
          <w:p>
            <w:pPr>
              <w:pStyle w:val="TableContents"/>
              <w:bidi w:val="0"/>
              <w:spacing w:before="0" w:after="283"/>
              <w:jc w:val="right"/>
              <w:rPr/>
            </w:pPr>
            <w:r>
              <w:rPr/>
              <w:drawing>
                <wp:inline distT="0" distB="0" distL="0" distR="0">
                  <wp:extent cx="2657475" cy="3143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9"/>
                          <a:stretch>
                            <a:fillRect/>
                          </a:stretch>
                        </pic:blipFill>
                        <pic:spPr bwMode="auto">
                          <a:xfrm>
                            <a:off x="0" y="0"/>
                            <a:ext cx="2657475" cy="314325"/>
                          </a:xfrm>
                          <a:prstGeom prst="rect">
                            <a:avLst/>
                          </a:prstGeom>
                        </pic:spPr>
                      </pic:pic>
                    </a:graphicData>
                  </a:graphic>
                </wp:inline>
              </w:drawing>
            </w:r>
            <w:r>
              <w:rPr/>
              <w:t xml:space="preserve"> </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401 Wilshire Boulevard </w:t>
      </w:r>
    </w:p>
    <w:p>
      <w:pPr>
        <w:pStyle w:val="TextBody"/>
        <w:bidi w:val="0"/>
        <w:spacing w:before="0" w:after="0"/>
        <w:jc w:val="left"/>
        <w:rPr>
          <w:rFonts w:ascii="Times New Roman" w:hAnsi="Times New Roman"/>
          <w:sz w:val="20"/>
        </w:rPr>
      </w:pPr>
      <w:r>
        <w:rPr>
          <w:rFonts w:ascii="Times New Roman" w:hAnsi="Times New Roman"/>
          <w:sz w:val="20"/>
        </w:rPr>
        <w:t xml:space="preserve">Suite 700 </w:t>
      </w:r>
    </w:p>
    <w:p>
      <w:pPr>
        <w:pStyle w:val="TextBody"/>
        <w:bidi w:val="0"/>
        <w:spacing w:before="0" w:after="0"/>
        <w:jc w:val="left"/>
        <w:rPr>
          <w:rFonts w:ascii="Times New Roman" w:hAnsi="Times New Roman"/>
          <w:sz w:val="20"/>
        </w:rPr>
      </w:pPr>
      <w:r>
        <w:rPr>
          <w:rFonts w:ascii="Times New Roman" w:hAnsi="Times New Roman"/>
          <w:sz w:val="20"/>
        </w:rPr>
        <w:t xml:space="preserve">Santa Monica, California 90401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Registration Statement on Form S-3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Maryland counsel to The Macerich Company, a Maryland corporation (the “Company”), in connection with certain matters of Maryland law arising out of the registration of up to 13,453,613 shares (the “Shares”) of the Company’s common stock, par value $0.01 per share (“Common Stock”), covered by the above-referenced Registration Statement on Form S-3 (as amended or supplemented, the “Registration Statement”) and the Prospectus Supplement (as hereinafter defined), each filed by the Company with the U.S. Securities and Exchange Commission (the “Commission”) under the Securities Act of 1933, as amended (the “1933 Act”), on August 5, 2026. The Shares may be issued upon redemption of certain units of limited partnership interest (the “Units”) in The Macerich Partnership, L.P., a Delaware limited partnership (the “Operating Partnership”). The Shares may be sold by the holders of Units named in the Prospectus Supplement (collectively, the “Unit 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bidi w:val="0"/>
        <w:spacing w:before="120" w:after="0"/>
        <w:jc w:val="left"/>
        <w:rPr>
          <w:rFonts w:ascii="Times New Roman" w:hAnsi="Times New Roman"/>
          <w:sz w:val="20"/>
        </w:rPr>
      </w:pPr>
      <w:r>
        <w:rPr>
          <w:rFonts w:ascii="Times New Roman" w:hAnsi="Times New Roman"/>
          <w:sz w:val="20"/>
        </w:rPr>
        <w:t xml:space="preserve">1.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The Prospectus, dated August 5, 2026, as supplemented by a Prospectus Supplement, dated August 5, 2026 (the “Prospectus Supplement”), filed with the Commission pursuant to Rule 424(b) of the General Rules and Regulations promulgated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3. The charter of the Company (the “Charter”), certified by the State Department of Assessments and Taxation of Maryland (the “SDAT”); </w:t>
      </w:r>
    </w:p>
    <w:p>
      <w:pPr>
        <w:pStyle w:val="TextBody"/>
        <w:bidi w:val="0"/>
        <w:spacing w:before="120" w:after="0"/>
        <w:jc w:val="left"/>
        <w:rPr>
          <w:rFonts w:ascii="Times New Roman" w:hAnsi="Times New Roman"/>
          <w:sz w:val="20"/>
        </w:rPr>
      </w:pPr>
      <w:r>
        <w:rPr>
          <w:rFonts w:ascii="Times New Roman" w:hAnsi="Times New Roman"/>
          <w:sz w:val="20"/>
        </w:rPr>
        <w:t xml:space="preserve">4. The Amended and Restated Bylaws of the Company, certified as of the date hereof by an officer of the Company;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66875" cy="485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0"/>
                    <a:stretch>
                      <a:fillRect/>
                    </a:stretch>
                  </pic:blipFill>
                  <pic:spPr bwMode="auto">
                    <a:xfrm>
                      <a:off x="0" y="0"/>
                      <a:ext cx="1666875" cy="4857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Resolutions (the “Resolutions”) adopted by the Board of Directors of the Company, relating to the registration and issuance of the Shares,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 The Amended and Restated Limited Partnership Agreement of the Operating Partnership, as amended (the “Partnership Agreement”),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7. A certificate of the SDAT as to the good standing of the Company, dated as of a recent date; </w:t>
      </w:r>
    </w:p>
    <w:p>
      <w:pPr>
        <w:pStyle w:val="TextBody"/>
        <w:bidi w:val="0"/>
        <w:spacing w:before="240" w:after="0"/>
        <w:jc w:val="left"/>
        <w:rPr>
          <w:rFonts w:ascii="Times New Roman" w:hAnsi="Times New Roman"/>
          <w:sz w:val="20"/>
        </w:rPr>
      </w:pPr>
      <w:r>
        <w:rPr>
          <w:rFonts w:ascii="Times New Roman" w:hAnsi="Times New Roman"/>
          <w:sz w:val="20"/>
        </w:rPr>
        <w:t xml:space="preserve">8. A certificate executed by an officer of the Company, dated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9. Such other documents and matters as we have deemed necessary or appropriate to express the opinion set forth below, subject to the assumptions, limitations and qualifications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another person, is legally competent to do so. </w:t>
      </w:r>
    </w:p>
    <w:p>
      <w:pPr>
        <w:pStyle w:val="TextBody"/>
        <w:bidi w:val="0"/>
        <w:spacing w:before="24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p>
    <w:p>
      <w:pPr>
        <w:pStyle w:val="TextBody"/>
        <w:bidi w:val="0"/>
        <w:spacing w:before="24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p>
    <w:p>
      <w:pPr>
        <w:pStyle w:val="TextBody"/>
        <w:bidi w:val="0"/>
        <w:spacing w:before="24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66875" cy="4857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1"/>
                    <a:stretch>
                      <a:fillRect/>
                    </a:stretch>
                  </pic:blipFill>
                  <pic:spPr bwMode="auto">
                    <a:xfrm>
                      <a:off x="0" y="0"/>
                      <a:ext cx="1666875" cy="4857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None of the Shares will be issued, sold or transferred in violation of the restrictions on ownership and transfer contained in Article EIGHTH of the Charter. </w:t>
      </w:r>
    </w:p>
    <w:p>
      <w:pPr>
        <w:pStyle w:val="TextBody"/>
        <w:bidi w:val="0"/>
        <w:spacing w:before="240" w:after="0"/>
        <w:jc w:val="left"/>
        <w:rPr>
          <w:rFonts w:ascii="Times New Roman" w:hAnsi="Times New Roman"/>
          <w:sz w:val="20"/>
        </w:rPr>
      </w:pPr>
      <w:r>
        <w:rPr>
          <w:rFonts w:ascii="Times New Roman" w:hAnsi="Times New Roman"/>
          <w:sz w:val="20"/>
        </w:rPr>
        <w:t xml:space="preserve">6. The Units were duly authorized and validly issued by the Operating Partnership to the Unit Holders.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duly incorporated and existing under and by virtue of the laws of the State of Maryland and is in good standing with the SDAT. </w:t>
      </w:r>
    </w:p>
    <w:p>
      <w:pPr>
        <w:pStyle w:val="TextBody"/>
        <w:bidi w:val="0"/>
        <w:spacing w:before="240" w:after="0"/>
        <w:jc w:val="left"/>
        <w:rPr>
          <w:rFonts w:ascii="Times New Roman" w:hAnsi="Times New Roman"/>
          <w:sz w:val="20"/>
        </w:rPr>
      </w:pPr>
      <w:r>
        <w:rPr>
          <w:rFonts w:ascii="Times New Roman" w:hAnsi="Times New Roman"/>
          <w:sz w:val="20"/>
        </w:rPr>
        <w:t xml:space="preserve">2. The Shares have been duly authorized and, when and if issued upon redemption of the Units in accordance with the Resolutions and the Partnership Agreement (assuming that, upon the issuance of any Shares, the total number of shares of Common Stock issued and outstanding will not exceed the total number of shares of Common Stock that the Company is then authorized to issue under the Charter),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United States federal law or the laws of any other jurisdiction. We express no opinion as to the applicability or effect of federal or state securities laws, including the securities laws of the State of Maryland, federal or state laws regarding fraudulent transfers or the laws, codes or regulations of any municipality or other local jurisdiction.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66875" cy="485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2"/>
                    <a:stretch>
                      <a:fillRect/>
                    </a:stretch>
                  </pic:blipFill>
                  <pic:spPr bwMode="auto">
                    <a:xfrm>
                      <a:off x="0" y="0"/>
                      <a:ext cx="1666875" cy="4857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The Macerich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Venable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12242/000119312524255985/d840428dex1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8900</Words>
  <Characters>45964</Characters>
  <CharactersWithSpaces>54929</CharactersWithSpaces>
  <Paragraphs>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EX-5.4</dc:title>
</cp:coreProperties>
</file>