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117d8k.htm"/>
      <w:bookmarkStart w:id="1" w:name="ksd10611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THE MACERICH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caps/>
              </w:rPr>
            </w:pPr>
            <w:r>
              <w:rPr>
                <w:b/>
                <w:caps/>
              </w:rPr>
              <w:t>Maryland</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1-12504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95-4448705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401 Wilshire Boulevard, Suite 700, Santa Monica, California 90401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(310) 394-6000</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72"/>
        <w:gridCol w:w="60"/>
        <w:gridCol w:w="705"/>
        <w:gridCol w:w="60"/>
        <w:gridCol w:w="3008"/>
      </w:tblGrid>
      <w:tr>
        <w:trPr/>
        <w:tc>
          <w:tcPr>
            <w:tcW w:w="6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sz w:val="4"/>
                <w:szCs w:val="4"/>
              </w:rPr>
            </w:pPr>
            <w:r>
              <w:rPr>
                <w:sz w:val="4"/>
                <w:szCs w:val="4"/>
              </w:rPr>
            </w:r>
          </w:p>
        </w:tc>
      </w:tr>
      <w:tr>
        <w:trPr/>
        <w:tc>
          <w:tcPr>
            <w:tcW w:w="637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08"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372" w:type="dxa"/>
            <w:tcBorders/>
            <w:vAlign w:val="center"/>
          </w:tcPr>
          <w:p>
            <w:pPr>
              <w:pStyle w:val="TableContents"/>
              <w:bidi w:val="0"/>
              <w:spacing w:before="0" w:after="283"/>
              <w:jc w:val="center"/>
              <w:rPr/>
            </w:pPr>
            <w:r>
              <w:rPr/>
              <w:t>Common stock of The Macerich Company, $0.01 par value per share</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MAC</w:t>
            </w:r>
          </w:p>
        </w:tc>
        <w:tc>
          <w:tcPr>
            <w:tcW w:w="60" w:type="dxa"/>
            <w:tcBorders/>
            <w:vAlign w:val="center"/>
          </w:tcPr>
          <w:p>
            <w:pPr>
              <w:pStyle w:val="TableContents"/>
              <w:bidi w:val="0"/>
              <w:spacing w:before="0" w:after="283"/>
              <w:jc w:val="left"/>
              <w:rPr/>
            </w:pPr>
            <w:r>
              <w:rPr/>
              <w:t> </w:t>
            </w:r>
          </w:p>
        </w:tc>
        <w:tc>
          <w:tcPr>
            <w:tcW w:w="3008"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6340" w:type="dxa"/>
        <w:jc w:val="left"/>
        <w:tblInd w:w="0" w:type="dxa"/>
        <w:tblLayout w:type="fixed"/>
        <w:tblCellMar>
          <w:top w:w="0" w:type="dxa"/>
          <w:left w:w="0" w:type="dxa"/>
          <w:bottom w:w="0" w:type="dxa"/>
          <w:right w:w="0" w:type="dxa"/>
        </w:tblCellMar>
      </w:tblPr>
      <w:tblGrid>
        <w:gridCol w:w="1025"/>
        <w:gridCol w:w="5315"/>
      </w:tblGrid>
      <w:tr>
        <w:trPr/>
        <w:tc>
          <w:tcPr>
            <w:tcW w:w="1025" w:type="dxa"/>
            <w:tcBorders/>
            <w:vAlign w:val="center"/>
          </w:tcPr>
          <w:p>
            <w:pPr>
              <w:pStyle w:val="TableContents"/>
              <w:bidi w:val="0"/>
              <w:spacing w:before="0" w:after="283"/>
              <w:jc w:val="left"/>
              <w:rPr>
                <w:b/>
              </w:rPr>
            </w:pPr>
            <w:r>
              <w:rPr>
                <w:b/>
              </w:rPr>
              <w:t>Item 1.01.</w:t>
            </w:r>
          </w:p>
        </w:tc>
        <w:tc>
          <w:tcPr>
            <w:tcW w:w="5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or Amendment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August 11, 2026, The Macerich Partnership, L.P. (the “</w:t>
      </w:r>
      <w:r>
        <w:rPr>
          <w:rFonts w:ascii="Times New Roman" w:hAnsi="Times New Roman"/>
          <w:sz w:val="20"/>
          <w:u w:val="single"/>
        </w:rPr>
        <w:t>Partnership</w:t>
      </w:r>
      <w:r>
        <w:rPr>
          <w:rFonts w:ascii="Times New Roman" w:hAnsi="Times New Roman"/>
          <w:sz w:val="20"/>
        </w:rPr>
        <w:t>”), the operating partnership of The Macerich Company (the “</w:t>
      </w:r>
      <w:r>
        <w:rPr>
          <w:rFonts w:ascii="Times New Roman" w:hAnsi="Times New Roman"/>
          <w:sz w:val="20"/>
          <w:u w:val="single"/>
        </w:rPr>
        <w:t>Company</w:t>
      </w:r>
      <w:r>
        <w:rPr>
          <w:rFonts w:ascii="Times New Roman" w:hAnsi="Times New Roman"/>
          <w:sz w:val="20"/>
        </w:rPr>
        <w:t>”), completed the issuance and sale of $775,000,000 aggregate principal amount of the Partnership’s 2.25% Exchangeable Senior Notes due 2031 (the “</w:t>
      </w:r>
      <w:r>
        <w:rPr>
          <w:rFonts w:ascii="Times New Roman" w:hAnsi="Times New Roman"/>
          <w:sz w:val="20"/>
          <w:u w:val="single"/>
        </w:rPr>
        <w:t>Notes</w:t>
      </w:r>
      <w:r>
        <w:rPr>
          <w:rFonts w:ascii="Times New Roman" w:hAnsi="Times New Roman"/>
          <w:sz w:val="20"/>
        </w:rPr>
        <w:t xml:space="preserve">”) pursuant to the purchase agreement among the Partnership, the Company and J.P. Morgan Securities LLC and Morgan Stanley &amp; Co. LLC, as the representatives of the initial purchasers of the Notes, which included the full exercise of the option granted to the initial purchasers to purchase an additional $100,000,000 aggregate principal amount of the Notes. The Notes are fully and unconditionally guaranteed on a senior, unsecured basis, by the Company.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Indenture and Notes </w:t>
      </w:r>
    </w:p>
    <w:p>
      <w:pPr>
        <w:pStyle w:val="TextBody"/>
        <w:bidi w:val="0"/>
        <w:spacing w:before="120" w:after="0"/>
        <w:jc w:val="left"/>
        <w:rPr>
          <w:rFonts w:ascii="Times New Roman" w:hAnsi="Times New Roman"/>
          <w:sz w:val="20"/>
        </w:rPr>
      </w:pPr>
      <w:r>
        <w:rPr>
          <w:rFonts w:ascii="Times New Roman" w:hAnsi="Times New Roman"/>
          <w:sz w:val="20"/>
        </w:rPr>
        <w:t>The Notes were issued pursuant to, and are governed by, an indenture (the “</w:t>
      </w:r>
      <w:r>
        <w:rPr>
          <w:rFonts w:ascii="Times New Roman" w:hAnsi="Times New Roman"/>
          <w:sz w:val="20"/>
          <w:u w:val="single"/>
        </w:rPr>
        <w:t>Indenture</w:t>
      </w:r>
      <w:r>
        <w:rPr>
          <w:rFonts w:ascii="Times New Roman" w:hAnsi="Times New Roman"/>
          <w:sz w:val="20"/>
        </w:rPr>
        <w:t>”), dated as of August 11, 2026, among the Partnership, the Company and U.S. Bank Trust Company, National Association,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senior, unsecured obligations of the Partnership, and are equal in right of payment with the existing and future senior, unsecured indebtedness of the Partnership, senior in right of payment to future indebtedness of the Partnership that is expressly subordinated to the Notes and effectively subordinated to the future secured indebtedness of the Partnership to the extent of the value of the collateral securing that indebtedness. The Notes are also structurally subordinated to all existing and future indebtedness and other liabilities, including trade payables, and (to the extent the Partnership is not a holder thereof) preferred equity, if any, of the subsidiaries of the Partnership. </w:t>
      </w:r>
    </w:p>
    <w:p>
      <w:pPr>
        <w:pStyle w:val="TextBody"/>
        <w:bidi w:val="0"/>
        <w:spacing w:before="240" w:after="0"/>
        <w:jc w:val="left"/>
        <w:rPr>
          <w:rFonts w:ascii="Times New Roman" w:hAnsi="Times New Roman"/>
          <w:sz w:val="20"/>
        </w:rPr>
      </w:pPr>
      <w:r>
        <w:rPr>
          <w:rFonts w:ascii="Times New Roman" w:hAnsi="Times New Roman"/>
          <w:sz w:val="20"/>
        </w:rPr>
        <w:t>The Notes accrue interest at a rate of 2.25% per annum, payable semi-annually in arrears on February 15 and August 15 of each year, beginning on February 15, 2027. The Notes will mature on August 15, 2031, unless earlier exchanged or repurchased or redeemed by the Partnership. Before May 15, 2031, noteholders will have the right to exchange their Notes only upon the occurrence of certain events. From and after May 15, 2031, noteholders may exchange their Notes at any time at their election until the close of business on the second scheduled trading day immediately before the maturity date. Exchanges will be settled in cash up to the aggregate principal amount of the Notes to be exchanged and, if applicable, cash, shares of the Company’s common stock, par value $0.01 per share (the “</w:t>
      </w:r>
      <w:r>
        <w:rPr>
          <w:rFonts w:ascii="Times New Roman" w:hAnsi="Times New Roman"/>
          <w:sz w:val="20"/>
          <w:u w:val="single"/>
        </w:rPr>
        <w:t>common stock</w:t>
      </w:r>
      <w:r>
        <w:rPr>
          <w:rFonts w:ascii="Times New Roman" w:hAnsi="Times New Roman"/>
          <w:sz w:val="20"/>
        </w:rPr>
        <w:t xml:space="preserve">”), or a combination thereof, at the Partnership’s election, in respect of the remainder (if any) of the Partnership’s exchange obligations in excess of the aggregate principal amount of the notes being exchanged. The consideration due upon exchange will be determined based on the exchange value of the Notes, measured proportionately for each trading day in an “Observation Period” (as defined in the Indenture) consisting of 40 consecutive VWAP trading days, and settled following the completion of that Observation Period. The consideration due in respect of each trading day in the Observation Period will consist of cash, up to at least the proportional amount of the principal amount being exchanged, and any excess of the proportional exchange value for that trading day will be settled in cash, shares of the Company’s common stock, or a combination thereof, at the Partnership’s election. The initial exchange rate is 35.4761 shares of the common stock per $1,000 principal amount of Notes, which represents an initial exchange price of approximately $28.19 per share of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common stock. The exchange rate and exchange price will be subject to customary adjustments upon the occurrence of certain events. In addition, if certain corporate events that constitute a “Make-Whole Fundamental Change” (as defined in the Indenture) occur, then the exchange rate will, in certain circumstances, be increased for a specified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(subject to certain limitations described below), at the Partnership’s option at any time, and from time to time, on or after August 20, 2029 and on or before the 41st scheduled trading day immediately before the maturity date, but only if certain liquidity conditions are satisfied and the last reported sale price per share of the Company’s common stock exceeds 130% of the exchange price on (i) each of at least 20 trading days, whether or not consecutive, during the 30 consecutive trading days ending on, and including, the trading day immediately before the date the Partnership sends the related redemption notice; and (ii) the trading day immediately before the date the Partnership sends such redemption notice. However, the Partnership may not redeem less than all of the outstanding Notes unless at least $100.0 million aggregate principal amount of Notes are outstanding and not called for redemption as of the time the Partnership sends the related redemption notice. The Partnership may also redeem the Notes, in whole or in part (subject to certain limitations), for cash at any time, and from time to time, if the Company’s board of directors (or a committee thereof) determines such redemption is necessary to preserve the Company’s status as a real estate investment trust. In either case,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exchange rate applicable to the exchange of that Note will be increased in certain circumstances if it is exchanged after it is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certain corporate events that constitute a “Fundamental Change” (as defined in the Indenture) occur, then, subject to a limited exception for certain cash mergers, noteholders may require the Partnership to repurchase their Notes at a cash repurchase price equal to the principal amount of the Notes to be repurchased, plus accrued and unpaid interest, if any, to, but excluding, the fundamental change repurchase date. The definition of Fundamental Change includes but is not limited to certain business combination transactions involving the Company and certain de-listing events with respect to the Company’s common stock. </w:t>
      </w:r>
    </w:p>
    <w:p>
      <w:pPr>
        <w:pStyle w:val="TextBody"/>
        <w:bidi w:val="0"/>
        <w:spacing w:before="240" w:after="0"/>
        <w:jc w:val="left"/>
        <w:rPr>
          <w:rFonts w:ascii="Times New Roman" w:hAnsi="Times New Roman"/>
          <w:sz w:val="20"/>
        </w:rPr>
      </w:pPr>
      <w:r>
        <w:rPr>
          <w:rFonts w:ascii="Times New Roman" w:hAnsi="Times New Roman"/>
          <w:sz w:val="20"/>
        </w:rPr>
        <w:t>If a Registration Default Event (as defined in the Registration Rights Agreement referred to below) occurs or is continuing at any time during the period after the regular record date immediately preceding the maturity date and on or before the maturity date (or, if the maturity date is not a business day, the next business day), then the Partnership will pay a cash premium (the “</w:t>
      </w:r>
      <w:r>
        <w:rPr>
          <w:rFonts w:ascii="Times New Roman" w:hAnsi="Times New Roman"/>
          <w:sz w:val="20"/>
          <w:u w:val="single"/>
        </w:rPr>
        <w:t>Maturity Premium</w:t>
      </w:r>
      <w:r>
        <w:rPr>
          <w:rFonts w:ascii="Times New Roman" w:hAnsi="Times New Roman"/>
          <w:sz w:val="20"/>
        </w:rPr>
        <w:t xml:space="preserve">”) at maturity of certain exchanged Notes in an amount equal to 3% of their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customary provisions relating to the occurrence of “Events of Default” (as defined in the Indenture), which include, but are not limited to, the following: (i) certain payment defaults on the Notes (which, in the case of a default in the payment of interest on the Notes, will be subject to a 30-day cure period); (ii) the Partnership’s failure to send certain notices under the Indenture within specified periods of time; (iii) the failure by the Partnership or the Company to comply with certain covenants in the Indenture relating to the ability of the Partnership or the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to consolidate with or merge with or into, or sell, lease or otherwise transfer, in one transaction or a series of transactions, all or substantially all of the assets of the Partnership or the Company, as applicable, and its subsidiaries, taken as a whole, to another person; (iv) a default by the Partnership or the Company in its other obligations or agreements under the Indenture or the Notes if such default is not cured or waived within 60 days after notice is given in accordance with the Indenture; (v) certain defaults by the Partnership or the Company with respect to indebtedness for borrowed money (other than certain non-recourse indebtedness) of at least $150,000,000; (vi) the Partnership or the Company denies or disaffirms its obligations under the Registration Rights Agreement described below; (vii) except as expressly permitted by the Indenture, the guarantee of the Notes by the Company ceases to be in full force and effect or the Company denies or disaffirms its obligations under its guarantee; (viii) a default in the Partnership’s obligation to exchange a Note in accordance with the Indenture upon the exercise of the exchange right with respect thereto, if such default is not cured within three business days after its occurrence; and (ix) certain events of bankruptcy, insolvency and reorganization involving the Partnership, the Company or any significant subsidiary.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Indenture and the Notes is a summary and is not complete. A copy of the Indenture and the form of the certificate representing the Notes are filed as Exhibits 4.1 and 4.2, respectively, to this Current Report on Form 8-K, and the above summary is qualified by reference to the terms of the Indenture and the Notes set forth in such exhibits.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In connection with the initial issuance of the Notes, the Partnership and the Company entered into a registration rights agreement (the “</w:t>
      </w:r>
      <w:r>
        <w:rPr>
          <w:rFonts w:ascii="Times New Roman" w:hAnsi="Times New Roman"/>
          <w:sz w:val="20"/>
          <w:u w:val="single"/>
        </w:rPr>
        <w:t>Registration Rights Agreement</w:t>
      </w:r>
      <w:r>
        <w:rPr>
          <w:rFonts w:ascii="Times New Roman" w:hAnsi="Times New Roman"/>
          <w:sz w:val="20"/>
        </w:rPr>
        <w:t>”) with the representatives of the initial purchasers. Pursuant to the Registration Rights Agreement, the Company agreed to prepare and file with the Securities and Exchange Commission (the “</w:t>
      </w:r>
      <w:r>
        <w:rPr>
          <w:rFonts w:ascii="Times New Roman" w:hAnsi="Times New Roman"/>
          <w:sz w:val="20"/>
          <w:u w:val="single"/>
        </w:rPr>
        <w:t>SEC</w:t>
      </w:r>
      <w:r>
        <w:rPr>
          <w:rFonts w:ascii="Times New Roman" w:hAnsi="Times New Roman"/>
          <w:sz w:val="20"/>
        </w:rPr>
        <w:t>”) a resale registration statement under the Securities Act of 1933, as amended (the “</w:t>
      </w:r>
      <w:r>
        <w:rPr>
          <w:rFonts w:ascii="Times New Roman" w:hAnsi="Times New Roman"/>
          <w:sz w:val="20"/>
          <w:u w:val="single"/>
        </w:rPr>
        <w:t>Securities Act</w:t>
      </w:r>
      <w:r>
        <w:rPr>
          <w:rFonts w:ascii="Times New Roman" w:hAnsi="Times New Roman"/>
          <w:sz w:val="20"/>
        </w:rPr>
        <w:t xml:space="preserve">”), covering the resale of the shares of common stock, if any, issuable upon exchange of the Notes by beneficial owners of the shares who satisfy certain conditions and timely provide certain information to the Partnership. Subject to certain exceptions and limitations, the Registration Rights Agreement requires the Company to use commercially reasonable efforts to cause the resale registration statement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become effective under the Securities Act by the “resale registration statement effectiveness deadline date,” which is the date that is 180 days after the date the Notes are first issued;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(whether directly or indirectly through one or more of its subsidiaries) has completed a significant acquisition and has not filed the financial statements required by Regulation S-X under the Securities Exchange Act of 1934, as amended, for such significant acquisition with the SEC by the date that would otherwise be the resale registration statement effectiveness deadline date, then the resale registration statement effectiveness deadline date will instead be the earlier of (i) the 210th day after the date the Notes are first issued; and (ii) the 30th calendar day after the date such financial statements are first filed (or, if earlier, are required to be filed) with the SEC; and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remain continuously effective and usable for a specified period of time.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However, the Company will have the right, in certain circumstances, to suspend the availability of the resale registration statement during “blackout periods” if there occurs or exists any pending corporate development, filing with the SEC or any other event, in each case that makes such suspension appropriate in the Company’s reasonable judgment. The Company’s right to institute or maintain blackout periods will be limited such that all blackout periods, together, may not exceed an aggregate of (i) 45 (or, in the case of certain proposed or pending material business transactions, up to 60) calendar days (whether or not consecutive) in any 90 consecutive calendar day period; or (ii) 90 (or, in the case of certain proposed or pending material business transactions, up to 120) calendar days (whether or not consecutive) in any 360 consecutive calendar day period.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when the resale registration statement must remain effective, the Registration Rights Agreement requires the Company to make filings with the SEC to name new selling securityholders in the related prospectus or prospectus supplement to enable them to resell their shares of the Company’s common stock, if any, issuable upon exchange of the Notes pursuant to the resale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and the Indenture provide that additional interest will accrue on certain Notes during the continuance of a Registration Default Event (as defined in the Registration Rights Agreement). Subject to certain limitations, additional interest will accrue: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all of the outstanding Notes for each day on which the resale registration statement is not on file with the SEC, effective under the Securities Act or usable during the period when it is required to be pursuant to the Registration Rights Agreement, but only to the extent that the number of days on which the resale registration statement is not so on file, effective or usable (inclusive of any blackout period) exceeds (1) 45 (or, in the case of certain proposed or pending material business transactions, 60) calendar days (whether or not consecutive) in any 90 consecutive calendar day period; or (2) 90 (or, in the case of certain proposed or pending material business transactions, 120) calendar days (whether or not consecutive) in any 360 consecutive calendar day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additional interest will accrue pursuant to the provision described in this bullet point as a result of the resale registration statement becoming unavailable in connection with the filing of certain post-effective amendments, but only to the extent that such unavailability does not exceed five business days;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any outstanding Note (and only such Note) for each day (other than during a blackout period) after certain specified deadlines on which, due to an omission, the beneficial owner of such Note is not named as a selling securityholder in the related prospectus or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any additional interest that accrues on a Note will, regardless of the number of events giving rise to such accrual, accrue at a rate per annum equal to 0.25% of the principal amount thereof for the first 90 days on which additional interest accrues and, thereafter, at a rate per annum equal to 0.50% of the principal amount thereof.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Registration Rights Agreement requires the Partnership and the Company to indemnify certain holders and their affiliated parties for certain losses arising in connection with material misstatements or omissions (or alleged material statements or omissions) in the resale registration statement or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Registration Rights Agreement is a summary and is not complete. A copy of the Registration Rights Agreement is filed as Exhibit 4.3 to this Current Report on Form 8-K, and the above summary is qualified by reference to the terms of the Registration Rights Agreement set forth in such exhibit.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Capped Call Transactions </w:t>
      </w:r>
    </w:p>
    <w:p>
      <w:pPr>
        <w:pStyle w:val="TextBody"/>
        <w:bidi w:val="0"/>
        <w:spacing w:before="120" w:after="0"/>
        <w:jc w:val="left"/>
        <w:rPr>
          <w:rFonts w:ascii="Times New Roman" w:hAnsi="Times New Roman"/>
          <w:sz w:val="20"/>
        </w:rPr>
      </w:pPr>
      <w:r>
        <w:rPr>
          <w:rFonts w:ascii="Times New Roman" w:hAnsi="Times New Roman"/>
          <w:sz w:val="20"/>
        </w:rPr>
        <w:t>On August 6, 2026, concurrently with the pricing of the Notes, and August 7, 2026, concurrently with the initial purchasers’ full exercise of the option to purchase additional Notes, the Partnership and the Company entered into capped call transactions (the “</w:t>
      </w:r>
      <w:r>
        <w:rPr>
          <w:rFonts w:ascii="Times New Roman" w:hAnsi="Times New Roman"/>
          <w:sz w:val="20"/>
          <w:u w:val="single"/>
        </w:rPr>
        <w:t>Capped Call Transactions</w:t>
      </w:r>
      <w:r>
        <w:rPr>
          <w:rFonts w:ascii="Times New Roman" w:hAnsi="Times New Roman"/>
          <w:sz w:val="20"/>
        </w:rPr>
        <w:t>”) with certain financial institutions (the “</w:t>
      </w:r>
      <w:r>
        <w:rPr>
          <w:rFonts w:ascii="Times New Roman" w:hAnsi="Times New Roman"/>
          <w:sz w:val="20"/>
          <w:u w:val="single"/>
        </w:rPr>
        <w:t>Option Counterparties</w:t>
      </w:r>
      <w:r>
        <w:rPr>
          <w:rFonts w:ascii="Times New Roman" w:hAnsi="Times New Roman"/>
          <w:sz w:val="20"/>
        </w:rPr>
        <w:t xml:space="preserve">”). The Capped Call Transactions cover, subject to customary adjustments, the number of shares of the common stock initially underlying the Notes. The Capped Call Transactions are expected generally to reduce the potential dilution to the common stock upon any exchange of Notes and/or offset any cash payments the Partnership is required to make in excess of the principal amount of exchanged Notes, as the case may be, with such reduction and/or offset subject to a cap. The cap price of the Capped Call Transactions is initially approximately $34.06 per share, which represents a premium of approximately 45% over the last reported sale price of $23.49 per share of the common stock on August 6, 2026, and is subject to certain adjustments under the terms of the Capped Call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Capped Call Transactions will expire upon the maturity of the Notes, if not earlier exercised or terminated. A copy of the form of confirmation for the Capped Call Transactions is attached hereto as Exhibit 10.1 and is incorporated herein by reference. The Capped Call Transactions are separate transactions, entered into by the Partnership and the Company with the Option Counterparties, and are not part of the terms of the Notes.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On August 5, 2026, the Company, as a guarantor, the Partnership, as the borrower, and certain subsidiary guarantors, entered into the First Amendment to the Second Amended and Restated Credit Agreement (the “</w:t>
      </w:r>
      <w:r>
        <w:rPr>
          <w:rFonts w:ascii="Times New Roman" w:hAnsi="Times New Roman"/>
          <w:sz w:val="20"/>
          <w:u w:val="single"/>
        </w:rPr>
        <w:t>Amendment</w:t>
      </w:r>
      <w:r>
        <w:rPr>
          <w:rFonts w:ascii="Times New Roman" w:hAnsi="Times New Roman"/>
          <w:sz w:val="20"/>
        </w:rPr>
        <w:t>”) with Deutsche Bank AG New York Branch, as administrative agent and collateral agent, and certain lenders party thereto, which amended certain terms of the Second Amended and Restated Credit Agreement, dated as of February 24, 2026 (the “</w:t>
      </w:r>
      <w:r>
        <w:rPr>
          <w:rFonts w:ascii="Times New Roman" w:hAnsi="Times New Roman"/>
          <w:sz w:val="20"/>
          <w:u w:val="single"/>
        </w:rPr>
        <w:t>Credit Agreement</w:t>
      </w:r>
      <w:r>
        <w:rPr>
          <w:rFonts w:ascii="Times New Roman" w:hAnsi="Times New Roman"/>
          <w:sz w:val="20"/>
        </w:rPr>
        <w:t xml:space="preserve">”). The Amendment modifies certain provisions of the Credit Agreement to, among other things, facilitate the Offering (as defined below), including by modifying certain defined terms and covenants and clarifying certain other provisions relevant thereto. </w:t>
      </w:r>
    </w:p>
    <w:p>
      <w:pPr>
        <w:pStyle w:val="TextBody"/>
        <w:bidi w:val="0"/>
        <w:spacing w:before="240" w:after="0"/>
        <w:jc w:val="left"/>
        <w:rPr>
          <w:rFonts w:ascii="Times New Roman" w:hAnsi="Times New Roman"/>
          <w:sz w:val="20"/>
        </w:rPr>
      </w:pPr>
      <w:r>
        <w:rPr>
          <w:rFonts w:ascii="Times New Roman" w:hAnsi="Times New Roman"/>
          <w:sz w:val="20"/>
        </w:rPr>
        <w:t xml:space="preserve">Except as modified by the Amendment, the terms of the Credit Agreement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is qualified in its entirety by reference to the Amendment, which is filed as Exhibit 10.2 to this Current Report on Form 8-K and incorporated by reference herein. </w:t>
      </w:r>
    </w:p>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1025"/>
        <w:gridCol w:w="6860"/>
      </w:tblGrid>
      <w:tr>
        <w:trPr/>
        <w:tc>
          <w:tcPr>
            <w:tcW w:w="1025" w:type="dxa"/>
            <w:tcBorders/>
            <w:vAlign w:val="center"/>
          </w:tcPr>
          <w:p>
            <w:pPr>
              <w:pStyle w:val="TableContents"/>
              <w:bidi w:val="0"/>
              <w:spacing w:before="0" w:after="283"/>
              <w:jc w:val="left"/>
              <w:rPr>
                <w:b/>
              </w:rPr>
            </w:pPr>
            <w:r>
              <w:rPr>
                <w:b/>
              </w:rPr>
              <w:t>Item 2.03.</w:t>
            </w:r>
          </w:p>
        </w:tc>
        <w:tc>
          <w:tcPr>
            <w:tcW w:w="68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Off-Balance Sheet Arrangement.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set forth in Item 1.01 above is incorporated by reference into this Item 2.03.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025"/>
        <w:gridCol w:w="3395"/>
      </w:tblGrid>
      <w:tr>
        <w:trPr/>
        <w:tc>
          <w:tcPr>
            <w:tcW w:w="102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net proceeds from the Offering (defined below) were approximately $757.0 million, after deducting the initial purchasers’ discounts and commissions and estimated offering expenses. The Partnership used approximately $45.0 million of the net proceeds from the Offering to pay the cost of the Capped Call Transactions and intends to use the remainder of the net proceeds to refinance existing secured debt and for general corporate purposes. Pending such use, the Partnership may invest the net proceeds in short-term, interest-bearing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The disclosure set forth in Item 1.01 above is incorporated by reference into this Item 3.02. The Notes were issued to the initial purchasers in reliance upon Section 4(a)(2) of the Securities Act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transactions not involving any public offering. The Notes were resold by the initial purchasers to persons whom the initial purchasers reasonably believe are “qualified institutional buyers,” as defined in, and in accordance with, Rule 144A under the Securities Act. Any shares of the Company’s common stock that may be issued upon exchange of the Notes will be issued in reliance upon Section 4(a)(2) of the Securities Act in transactions not involving any public offering. Initially, a maximum of 32,992,757 shares of the Company’s common stock may be issued upon exchange of the Notes, based on the initial maximum exchange rate of 42.5713 shares of common stock per $1,000 principal amount of Notes, which is subject to customary anti-dilution adjustment provisions.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On August 6, 2026, the Company issued a press release announcing the launch of the offering of the Notes in a private offering that is exempt from the registration requirements of the Securities Act (the “</w:t>
      </w:r>
      <w:r>
        <w:rPr>
          <w:rFonts w:ascii="Times New Roman" w:hAnsi="Times New Roman"/>
          <w:sz w:val="20"/>
          <w:u w:val="single"/>
        </w:rPr>
        <w:t>Offering</w:t>
      </w:r>
      <w:r>
        <w:rPr>
          <w:rFonts w:ascii="Times New Roman" w:hAnsi="Times New Roman"/>
          <w:sz w:val="20"/>
        </w:rPr>
        <w:t xml:space="preserve">”). On August 7, 2026, the Company issued a press release announcing the pricing of the Notes to be issued in the Offering. </w:t>
      </w:r>
    </w:p>
    <w:p>
      <w:pPr>
        <w:pStyle w:val="TextBody"/>
        <w:bidi w:val="0"/>
        <w:spacing w:before="240" w:after="0"/>
        <w:jc w:val="left"/>
        <w:rPr>
          <w:rFonts w:ascii="Times New Roman" w:hAnsi="Times New Roman"/>
          <w:sz w:val="20"/>
        </w:rPr>
      </w:pPr>
      <w:r>
        <w:rPr>
          <w:rFonts w:ascii="Times New Roman" w:hAnsi="Times New Roman"/>
          <w:sz w:val="20"/>
        </w:rPr>
        <w:t>Copies of the foregoing press releases are attached hereto as Exhibits 99.1 and 99.2 and are incorporated into this Item 8.01 by reference.</w:t>
      </w:r>
    </w:p>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Number</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center"/>
              <w:rPr/>
            </w:pPr>
            <w:r>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06117dex41.htm">
              <w:r>
                <w:rPr>
                  <w:rStyle w:val="InternetLink"/>
                </w:rPr>
                <w:t xml:space="preserve">Indenture, dated as of August 11, 2026, among The Macerich Partnership, L.P., as issuer, The Macerich Company, as guarantor, and U.S. Bank Trust Company, National Association, as trustee.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exa">
              <w:r>
                <w:rPr>
                  <w:rStyle w:val="InternetLink"/>
                </w:rPr>
                <w:t xml:space="preserve">Form of certificate representing the 2.25% Exchangeable Senior Notes due 2031 (included as Exhibit A to Exhibit 4.1).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06117dex43.htm">
              <w:r>
                <w:rPr>
                  <w:rStyle w:val="InternetLink"/>
                </w:rPr>
                <w:t xml:space="preserve">Registration Rights Agreement, dated as of August 11, 2026, among The Macerich Partnership, L.P., The Macerich Company, and the initial purchasers named therein.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06117dex101.htm">
              <w:r>
                <w:rPr>
                  <w:rStyle w:val="InternetLink"/>
                </w:rPr>
                <w:t xml:space="preserve">Form of Capped Call Transaction Confirmation.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06117dex102.htm">
              <w:r>
                <w:rPr>
                  <w:rStyle w:val="InternetLink"/>
                </w:rPr>
                <w:t xml:space="preserve">First Amendment to the Second Amended and Restated Credit Agreement, dated as of August 5, 2026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06117dex991.htm">
              <w:r>
                <w:rPr>
                  <w:rStyle w:val="InternetLink"/>
                </w:rPr>
                <w:t xml:space="preserve">Launch Press Release, dated August 6, 2026.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06117dex992.htm">
              <w:r>
                <w:rPr>
                  <w:rStyle w:val="InternetLink"/>
                </w:rPr>
                <w:t xml:space="preserve">Pricing Press Release, dated August 7, 2026.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380"/>
        <w:gridCol w:w="60"/>
        <w:gridCol w:w="677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70"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vAlign w:val="center"/>
          </w:tcPr>
          <w:p>
            <w:pPr>
              <w:pStyle w:val="TableContents"/>
              <w:bidi w:val="0"/>
              <w:spacing w:before="0" w:after="283"/>
              <w:jc w:val="left"/>
              <w:rPr/>
            </w:pPr>
            <w:r>
              <w:rPr/>
              <w:t>THE MACERICH COMPANY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83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E. Swanstrom II</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Daniel E. Swanstrom II</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Senior Executive Vice President, 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11, 2026 </w:t>
      </w:r>
    </w:p>
    <w:p>
      <w:pPr>
        <w:pStyle w:val="TextBody"/>
        <w:bidi w:val="0"/>
        <w:spacing w:before="0" w:after="0"/>
        <w:jc w:val="right"/>
        <w:rPr>
          <w:rFonts w:ascii="Times New Roman" w:hAnsi="Times New Roman"/>
          <w:sz w:val="20"/>
        </w:rPr>
      </w:pPr>
      <w:bookmarkStart w:id="2" w:name="d106117dex41.htm"/>
      <w:bookmarkStart w:id="3" w:name="ksd106117dex41"/>
      <w:bookmarkEnd w:id="2"/>
      <w:bookmarkEnd w:id="3"/>
      <w:r>
        <w:rPr>
          <w:rFonts w:ascii="Times New Roman" w:hAnsi="Times New Roman"/>
          <w:b/>
          <w:i/>
          <w:sz w:val="20"/>
        </w:rPr>
        <w:t>Exhibit 4.1</w:t>
      </w:r>
      <w:r>
        <w:rPr>
          <w:rFonts w:ascii="Times New Roman" w:hAnsi="Times New Roman"/>
          <w:sz w:val="20"/>
        </w:rPr>
        <w:t xml:space="preserve">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THE MACERICH PARTNERSHIP, L.P., </w:t>
      </w:r>
    </w:p>
    <w:p>
      <w:pPr>
        <w:pStyle w:val="TextBody"/>
        <w:bidi w:val="0"/>
        <w:spacing w:before="24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2.25% Exchangeable Senior Notes due 2031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2"/>
        <w:gridCol w:w="124"/>
        <w:gridCol w:w="1528"/>
        <w:gridCol w:w="124"/>
        <w:gridCol w:w="7041"/>
        <w:gridCol w:w="173"/>
        <w:gridCol w:w="90"/>
        <w:gridCol w:w="399"/>
        <w:gridCol w:w="64"/>
      </w:tblGrid>
      <w:tr>
        <w:trPr/>
        <w:tc>
          <w:tcPr>
            <w:tcW w:w="66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041"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6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04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89" w:type="dxa"/>
            <w:gridSpan w:val="2"/>
            <w:tcBorders/>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79" w:type="dxa"/>
            <w:gridSpan w:val="5"/>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5"/>
            <w:tcBorders/>
          </w:tcPr>
          <w:p>
            <w:pPr>
              <w:pStyle w:val="TableContents"/>
              <w:bidi w:val="0"/>
              <w:spacing w:before="0" w:after="283"/>
              <w:jc w:val="left"/>
              <w:rPr/>
            </w:pPr>
            <w:r>
              <w:rPr/>
              <w:t>ARTICLE 1. DEFINITIONS; RULES OF CONSTRUCTION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662"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7165"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479" w:type="dxa"/>
            <w:gridSpan w:val="5"/>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5"/>
            <w:tcBorders/>
          </w:tcPr>
          <w:p>
            <w:pPr>
              <w:pStyle w:val="TableContents"/>
              <w:bidi w:val="0"/>
              <w:spacing w:before="0" w:after="283"/>
              <w:jc w:val="left"/>
              <w:rPr/>
            </w:pPr>
            <w:r>
              <w:rPr/>
              <w:t>ARTICLE 2. THE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662"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7165"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662" w:type="dxa"/>
            <w:tcBorders/>
          </w:tcPr>
          <w:p>
            <w:pPr>
              <w:pStyle w:val="TableContents"/>
              <w:bidi w:val="0"/>
              <w:spacing w:before="0" w:after="0"/>
              <w:jc w:val="left"/>
              <w:rPr/>
            </w:pPr>
            <w:r>
              <w:rPr/>
              <w:t>   </w:t>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Form, Dating and Denominations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Execution, Authentication and Delivery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Initial Notes and Additional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Method of Payment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Accrual of Interest; Defaulted Amounts; When Payment Date is Not a Business Day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Registrar, Paying Agent and Exchange Agent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 and Exchange Agent to hold Property in Trust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Holder Lists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Legends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Transfers and Exchanges; Certain Transfer Restrictions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Exchange and Cancellation of Notes to be Exchanged or to be Repurchased Pursuant to a Repurchase Upon Fundamental Change or Redemption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Registered Holders; Certain Rights with Respect to Global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Notes Held by the Company or its Affiliates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Temporary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Repurchase by the Company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CUSIP and ISIN Numbers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479" w:type="dxa"/>
            <w:gridSpan w:val="5"/>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5"/>
            <w:tcBorders/>
          </w:tcPr>
          <w:p>
            <w:pPr>
              <w:pStyle w:val="TableContents"/>
              <w:bidi w:val="0"/>
              <w:spacing w:before="0" w:after="283"/>
              <w:jc w:val="left"/>
              <w:rPr/>
            </w:pPr>
            <w:r>
              <w:rPr/>
              <w:t>ARTICLE 3. COVENANTS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662"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7165"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Exchange Act Reports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Rule 144A Information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Interest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Maturity Premium</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and Default Certificates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Stay, Extension and Usury Laws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Notes by the Company, the Parent Guarantor and their Respective Affiliates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9479" w:type="dxa"/>
            <w:gridSpan w:val="5"/>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5"/>
            <w:tcBorders/>
          </w:tcPr>
          <w:p>
            <w:pPr>
              <w:pStyle w:val="TableContents"/>
              <w:bidi w:val="0"/>
              <w:spacing w:before="0" w:after="283"/>
              <w:jc w:val="left"/>
              <w:rPr/>
            </w:pPr>
            <w:r>
              <w:rPr/>
              <w:t>ARTICLE 4. REPURCHASE AND REDEMPTION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662"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7165"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No Sinking Fund</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Right of Holders to Require the Company to Repurchase Notes Upon a Fundamental Change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Right of the Company to Redeem the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9479" w:type="dxa"/>
            <w:gridSpan w:val="5"/>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5"/>
            <w:tcBorders/>
          </w:tcPr>
          <w:p>
            <w:pPr>
              <w:pStyle w:val="TableContents"/>
              <w:bidi w:val="0"/>
              <w:spacing w:before="0" w:after="283"/>
              <w:jc w:val="left"/>
              <w:rPr/>
            </w:pPr>
            <w:r>
              <w:rPr/>
              <w:t>ARTICLE 5. EXCHANGE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662"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7165"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Right to Exchange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Exchange Procedures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Settlement Upon Exchange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Reserve and Status of Common Stock Delivered Upon Exchange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to the Exchange Rate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24"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left"/>
              <w:rPr>
                <w:rFonts w:ascii="Times New Roman" w:hAnsi="Times New Roman"/>
                <w:sz w:val="20"/>
              </w:rPr>
            </w:pPr>
            <w:r>
              <w:rPr>
                <w:rFonts w:ascii="Times New Roman" w:hAnsi="Times New Roman"/>
                <w:sz w:val="20"/>
              </w:rPr>
              <w:t>Voluntary Adjustments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
        <w:gridCol w:w="120"/>
        <w:gridCol w:w="1610"/>
        <w:gridCol w:w="120"/>
        <w:gridCol w:w="7124"/>
        <w:gridCol w:w="164"/>
        <w:gridCol w:w="65"/>
        <w:gridCol w:w="286"/>
        <w:gridCol w:w="65"/>
      </w:tblGrid>
      <w:tr>
        <w:trPr/>
        <w:tc>
          <w:tcPr>
            <w:tcW w:w="6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24"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351" w:type="dxa"/>
            <w:gridSpan w:val="2"/>
            <w:tcBorders/>
            <w:vAlign w:val="bottom"/>
          </w:tcPr>
          <w:p>
            <w:pPr>
              <w:pStyle w:val="TableContents"/>
              <w:bidi w:val="0"/>
              <w:spacing w:before="0" w:after="283"/>
              <w:jc w:val="center"/>
              <w:rPr>
                <w:sz w:val="16"/>
              </w:rPr>
            </w:pPr>
            <w:r>
              <w:rPr>
                <w:sz w:val="16"/>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Adjustments to the Exchange Rate in Connection with a Make-Whole Fundamental Change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43</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Transfer of Notes to be Exchanged to a Third Party for Settlement</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44</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Effect of Common Stock Change Event</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Deemed Representation Upon Exchange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rHeight w:val="120" w:hRule="atLeast"/>
        </w:trPr>
        <w:tc>
          <w:tcPr>
            <w:tcW w:w="9625" w:type="dxa"/>
            <w:gridSpan w:val="5"/>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9625" w:type="dxa"/>
            <w:gridSpan w:val="5"/>
            <w:tcBorders/>
          </w:tcPr>
          <w:p>
            <w:pPr>
              <w:pStyle w:val="TableContents"/>
              <w:bidi w:val="0"/>
              <w:spacing w:before="0" w:after="283"/>
              <w:jc w:val="left"/>
              <w:rPr/>
            </w:pPr>
            <w:r>
              <w:rPr/>
              <w:t>ARTICLE 6. COMPANY SUCCESSORS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When the Company May Merge, Etc.</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Company Successor Entity Substituted</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Exclusion for Asset Transfers with Wholly Owned Subsidiaries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625" w:type="dxa"/>
            <w:gridSpan w:val="5"/>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9625" w:type="dxa"/>
            <w:gridSpan w:val="5"/>
            <w:tcBorders/>
          </w:tcPr>
          <w:p>
            <w:pPr>
              <w:pStyle w:val="TableContents"/>
              <w:bidi w:val="0"/>
              <w:spacing w:before="0" w:after="283"/>
              <w:jc w:val="left"/>
              <w:rPr/>
            </w:pPr>
            <w:r>
              <w:rPr/>
              <w:t>ARTICLE 7. DEFAULTS AND REMEDIES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Events of Default</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Acceleration</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Sole Remedy for a Failure to Report</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Other Remedies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Waiver of Past Defaults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Control by Majority</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Limitation on Suits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Absolute Right of Holders to Institute Suit for the Enforcement of the Right to Receive Payment and Exchange Consideration</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Collection Suit by Trustee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Trustee May File Proofs of Claim</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Priorities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Undertaking for Costs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rHeight w:val="120" w:hRule="atLeast"/>
        </w:trPr>
        <w:tc>
          <w:tcPr>
            <w:tcW w:w="9625" w:type="dxa"/>
            <w:gridSpan w:val="5"/>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9625" w:type="dxa"/>
            <w:gridSpan w:val="5"/>
            <w:tcBorders/>
          </w:tcPr>
          <w:p>
            <w:pPr>
              <w:pStyle w:val="TableContents"/>
              <w:bidi w:val="0"/>
              <w:spacing w:before="0" w:after="283"/>
              <w:jc w:val="left"/>
              <w:rPr/>
            </w:pPr>
            <w:r>
              <w:rPr/>
              <w:t>ARTICLE 8. AMENDMENTS, SUPPLEMENTS AND WAIVERS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Without the Consent of Holders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With the Consent of Holders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Notice of Amendments, Supplements and Waivers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Revocation, Effect and Solicitation of Consents; Special Record Dates; Etc.</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Notations and Exchanges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Trustee to Execute Supplemental Indentures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rHeight w:val="120" w:hRule="atLeast"/>
        </w:trPr>
        <w:tc>
          <w:tcPr>
            <w:tcW w:w="9625" w:type="dxa"/>
            <w:gridSpan w:val="5"/>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9625" w:type="dxa"/>
            <w:gridSpan w:val="5"/>
            <w:tcBorders/>
          </w:tcPr>
          <w:p>
            <w:pPr>
              <w:pStyle w:val="TableContents"/>
              <w:bidi w:val="0"/>
              <w:spacing w:before="0" w:after="283"/>
              <w:jc w:val="left"/>
              <w:rPr/>
            </w:pPr>
            <w:r>
              <w:rPr/>
              <w:t>ARTICLE 9. GUARANTEE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Guarantee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Limitation on Parent Guarantor Liability</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Execution and Delivery of Guarantee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When the Parent Guarantor May Merge, Etc.</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Application of Certain Provisions to the Parent Guarantor</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Automatic Release of Guarantee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rHeight w:val="120" w:hRule="atLeast"/>
        </w:trPr>
        <w:tc>
          <w:tcPr>
            <w:tcW w:w="9625" w:type="dxa"/>
            <w:gridSpan w:val="5"/>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9625" w:type="dxa"/>
            <w:gridSpan w:val="5"/>
            <w:tcBorders/>
          </w:tcPr>
          <w:p>
            <w:pPr>
              <w:pStyle w:val="TableContents"/>
              <w:bidi w:val="0"/>
              <w:spacing w:before="0" w:after="283"/>
              <w:jc w:val="left"/>
              <w:rPr/>
            </w:pPr>
            <w:r>
              <w:rPr/>
              <w:t>ARTICLE 10. SATISFACTION AND DISCHARGE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Termination of Company’s Obligations</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Repayment to Company</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Reinstatement</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rHeight w:val="120" w:hRule="atLeast"/>
        </w:trPr>
        <w:tc>
          <w:tcPr>
            <w:tcW w:w="9625" w:type="dxa"/>
            <w:gridSpan w:val="5"/>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9625" w:type="dxa"/>
            <w:gridSpan w:val="5"/>
            <w:tcBorders/>
          </w:tcPr>
          <w:p>
            <w:pPr>
              <w:pStyle w:val="TableContents"/>
              <w:bidi w:val="0"/>
              <w:spacing w:before="0" w:after="283"/>
              <w:jc w:val="left"/>
              <w:rPr/>
            </w:pPr>
            <w:r>
              <w:rPr/>
              <w:t>ARTICLE 11. TRUSTEE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c>
          <w:tcPr>
            <w:tcW w:w="580" w:type="dxa"/>
            <w:gridSpan w:val="4"/>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Duties of the Trustee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Rights of the Trustee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Individual Rights of the Trustee</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Trustee’s Disclaimer</w:t>
            </w:r>
          </w:p>
        </w:tc>
        <w:tc>
          <w:tcPr>
            <w:tcW w:w="16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
        <w:gridCol w:w="123"/>
        <w:gridCol w:w="1689"/>
        <w:gridCol w:w="123"/>
        <w:gridCol w:w="6882"/>
        <w:gridCol w:w="173"/>
        <w:gridCol w:w="90"/>
        <w:gridCol w:w="400"/>
        <w:gridCol w:w="65"/>
      </w:tblGrid>
      <w:tr>
        <w:trPr/>
        <w:tc>
          <w:tcPr>
            <w:tcW w:w="6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882"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88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90" w:type="dxa"/>
            <w:gridSpan w:val="2"/>
            <w:tcBorders/>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660" w:type="dxa"/>
            <w:tcBorders/>
            <w:vAlign w:val="center"/>
          </w:tcPr>
          <w:p>
            <w:pPr>
              <w:pStyle w:val="TableContents"/>
              <w:bidi w:val="0"/>
              <w:spacing w:before="0" w:after="283"/>
              <w:jc w:val="left"/>
              <w:rPr>
                <w:sz w:val="4"/>
                <w:szCs w:val="4"/>
              </w:rPr>
            </w:pPr>
            <w:r>
              <w:rPr>
                <w:sz w:val="4"/>
                <w:szCs w:val="4"/>
              </w:rPr>
            </w:r>
          </w:p>
        </w:tc>
        <w:tc>
          <w:tcPr>
            <w:tcW w:w="1812" w:type="dxa"/>
            <w:gridSpan w:val="2"/>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Indemnity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of the Trustee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Successor Trustee by Merger, Etc.</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62</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Eligibility; Disqualification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62</w:t>
            </w:r>
          </w:p>
        </w:tc>
        <w:tc>
          <w:tcPr>
            <w:tcW w:w="65" w:type="dxa"/>
            <w:tcBorders/>
            <w:vAlign w:val="bottom"/>
          </w:tcPr>
          <w:p>
            <w:pPr>
              <w:pStyle w:val="TableContents"/>
              <w:bidi w:val="0"/>
              <w:spacing w:before="0" w:after="283"/>
              <w:jc w:val="left"/>
              <w:rPr/>
            </w:pPr>
            <w:r>
              <w:rPr/>
              <w:t> </w:t>
            </w:r>
          </w:p>
        </w:tc>
      </w:tr>
      <w:tr>
        <w:trPr>
          <w:trHeight w:val="120" w:hRule="atLeast"/>
        </w:trPr>
        <w:tc>
          <w:tcPr>
            <w:tcW w:w="9477" w:type="dxa"/>
            <w:gridSpan w:val="5"/>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9477" w:type="dxa"/>
            <w:gridSpan w:val="5"/>
            <w:tcBorders/>
          </w:tcPr>
          <w:p>
            <w:pPr>
              <w:pStyle w:val="TableContents"/>
              <w:bidi w:val="0"/>
              <w:spacing w:before="0" w:after="283"/>
              <w:jc w:val="left"/>
              <w:rPr/>
            </w:pPr>
            <w:r>
              <w:rPr/>
              <w:t>ARTICLE 12. MISCELLANEOUS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62</w:t>
            </w:r>
          </w:p>
        </w:tc>
        <w:tc>
          <w:tcPr>
            <w:tcW w:w="65" w:type="dxa"/>
            <w:tcBorders/>
            <w:vAlign w:val="bottom"/>
          </w:tcPr>
          <w:p>
            <w:pPr>
              <w:pStyle w:val="TableContents"/>
              <w:bidi w:val="0"/>
              <w:spacing w:before="0" w:after="283"/>
              <w:jc w:val="left"/>
              <w:rPr/>
            </w:pPr>
            <w:r>
              <w:rPr/>
              <w:t> </w:t>
            </w:r>
          </w:p>
        </w:tc>
      </w:tr>
      <w:tr>
        <w:trPr>
          <w:trHeight w:val="120" w:hRule="atLeast"/>
        </w:trPr>
        <w:tc>
          <w:tcPr>
            <w:tcW w:w="660" w:type="dxa"/>
            <w:tcBorders/>
            <w:vAlign w:val="center"/>
          </w:tcPr>
          <w:p>
            <w:pPr>
              <w:pStyle w:val="TableContents"/>
              <w:bidi w:val="0"/>
              <w:spacing w:before="0" w:after="283"/>
              <w:jc w:val="left"/>
              <w:rPr>
                <w:sz w:val="4"/>
                <w:szCs w:val="4"/>
              </w:rPr>
            </w:pPr>
            <w:r>
              <w:rPr>
                <w:sz w:val="4"/>
                <w:szCs w:val="4"/>
              </w:rPr>
            </w:r>
          </w:p>
        </w:tc>
        <w:tc>
          <w:tcPr>
            <w:tcW w:w="1812" w:type="dxa"/>
            <w:gridSpan w:val="2"/>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62</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Officer’s Certificate and Opinion of Counsel as to Conditions Precedent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Statements Required in Officer’s Certificate and Opinion of Counsel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Rules by the Trustee, the Registrar, the Paying Agent and the Exchange Agent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No Personal Liability of Directors, Officers, Employees, Partners and Stockholders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Waiver of Jury Trial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0"/>
              <w:jc w:val="left"/>
              <w:rPr/>
            </w:pPr>
            <w:r>
              <w:rPr/>
              <w:t>   </w:t>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12.08</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No Adverse Interpretation of Other Agreements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12.09</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Successors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Calculations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12.14</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12.15</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12.16</w:t>
            </w:r>
          </w:p>
        </w:tc>
        <w:tc>
          <w:tcPr>
            <w:tcW w:w="123" w:type="dxa"/>
            <w:tcBorders/>
            <w:vAlign w:val="bottom"/>
          </w:tcPr>
          <w:p>
            <w:pPr>
              <w:pStyle w:val="TableContents"/>
              <w:bidi w:val="0"/>
              <w:spacing w:before="0" w:after="283"/>
              <w:jc w:val="left"/>
              <w:rPr/>
            </w:pPr>
            <w:r>
              <w:rPr/>
              <w:t> </w:t>
            </w:r>
          </w:p>
        </w:tc>
        <w:tc>
          <w:tcPr>
            <w:tcW w:w="6882"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7"/>
        <w:gridCol w:w="121"/>
        <w:gridCol w:w="4837"/>
      </w:tblGrid>
      <w:tr>
        <w:trPr/>
        <w:tc>
          <w:tcPr>
            <w:tcW w:w="52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Exhibit A: Form of Note</w:t>
            </w:r>
          </w:p>
        </w:tc>
        <w:tc>
          <w:tcPr>
            <w:tcW w:w="121" w:type="dxa"/>
            <w:tcBorders/>
            <w:vAlign w:val="bottom"/>
          </w:tcPr>
          <w:p>
            <w:pPr>
              <w:pStyle w:val="TableContents"/>
              <w:bidi w:val="0"/>
              <w:spacing w:before="0" w:after="283"/>
              <w:jc w:val="left"/>
              <w:rPr/>
            </w:pPr>
            <w:r>
              <w:rPr/>
              <w:t>  </w:t>
            </w:r>
          </w:p>
        </w:tc>
        <w:tc>
          <w:tcPr>
            <w:tcW w:w="4837" w:type="dxa"/>
            <w:tcBorders/>
            <w:vAlign w:val="bottom"/>
          </w:tcPr>
          <w:p>
            <w:pPr>
              <w:pStyle w:val="TableContents"/>
              <w:bidi w:val="0"/>
              <w:spacing w:before="0" w:after="283"/>
              <w:jc w:val="right"/>
              <w:rPr/>
            </w:pPr>
            <w:r>
              <w:rPr/>
              <w:t>A-1</w:t>
            </w:r>
          </w:p>
        </w:tc>
      </w:tr>
      <w:tr>
        <w:trPr>
          <w:trHeight w:val="120"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Exhibit B-1: Form of Restricted Note Legend</w:t>
            </w:r>
          </w:p>
        </w:tc>
        <w:tc>
          <w:tcPr>
            <w:tcW w:w="121" w:type="dxa"/>
            <w:tcBorders/>
            <w:vAlign w:val="bottom"/>
          </w:tcPr>
          <w:p>
            <w:pPr>
              <w:pStyle w:val="TableContents"/>
              <w:bidi w:val="0"/>
              <w:spacing w:before="0" w:after="283"/>
              <w:jc w:val="left"/>
              <w:rPr/>
            </w:pPr>
            <w:r>
              <w:rPr/>
              <w:t>  </w:t>
            </w:r>
          </w:p>
        </w:tc>
        <w:tc>
          <w:tcPr>
            <w:tcW w:w="4837" w:type="dxa"/>
            <w:tcBorders/>
            <w:vAlign w:val="bottom"/>
          </w:tcPr>
          <w:p>
            <w:pPr>
              <w:pStyle w:val="TableContents"/>
              <w:bidi w:val="0"/>
              <w:spacing w:before="0" w:after="283"/>
              <w:jc w:val="right"/>
              <w:rPr/>
            </w:pPr>
            <w:r>
              <w:rPr/>
              <w:t>B1-1</w:t>
            </w:r>
          </w:p>
        </w:tc>
      </w:tr>
      <w:tr>
        <w:trPr>
          <w:trHeight w:val="120"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Exhibit B-2: Form of Global Note Legend</w:t>
            </w:r>
          </w:p>
        </w:tc>
        <w:tc>
          <w:tcPr>
            <w:tcW w:w="121" w:type="dxa"/>
            <w:tcBorders/>
            <w:vAlign w:val="bottom"/>
          </w:tcPr>
          <w:p>
            <w:pPr>
              <w:pStyle w:val="TableContents"/>
              <w:bidi w:val="0"/>
              <w:spacing w:before="0" w:after="283"/>
              <w:jc w:val="left"/>
              <w:rPr/>
            </w:pPr>
            <w:r>
              <w:rPr/>
              <w:t>  </w:t>
            </w:r>
          </w:p>
        </w:tc>
        <w:tc>
          <w:tcPr>
            <w:tcW w:w="4837" w:type="dxa"/>
            <w:tcBorders/>
            <w:vAlign w:val="bottom"/>
          </w:tcPr>
          <w:p>
            <w:pPr>
              <w:pStyle w:val="TableContents"/>
              <w:bidi w:val="0"/>
              <w:spacing w:before="0" w:after="283"/>
              <w:jc w:val="right"/>
              <w:rPr/>
            </w:pPr>
            <w:r>
              <w:rPr/>
              <w:t>B2-1</w:t>
            </w:r>
          </w:p>
        </w:tc>
      </w:tr>
      <w:tr>
        <w:trPr>
          <w:trHeight w:val="120"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Exhibit B-3: Form of Non-Affiliate Legend</w:t>
            </w:r>
          </w:p>
        </w:tc>
        <w:tc>
          <w:tcPr>
            <w:tcW w:w="121" w:type="dxa"/>
            <w:tcBorders/>
            <w:vAlign w:val="bottom"/>
          </w:tcPr>
          <w:p>
            <w:pPr>
              <w:pStyle w:val="TableContents"/>
              <w:bidi w:val="0"/>
              <w:spacing w:before="0" w:after="283"/>
              <w:jc w:val="left"/>
              <w:rPr/>
            </w:pPr>
            <w:r>
              <w:rPr/>
              <w:t>  </w:t>
            </w:r>
          </w:p>
        </w:tc>
        <w:tc>
          <w:tcPr>
            <w:tcW w:w="4837" w:type="dxa"/>
            <w:tcBorders/>
            <w:vAlign w:val="bottom"/>
          </w:tcPr>
          <w:p>
            <w:pPr>
              <w:pStyle w:val="TableContents"/>
              <w:bidi w:val="0"/>
              <w:spacing w:before="0" w:after="283"/>
              <w:jc w:val="right"/>
              <w:rPr/>
            </w:pPr>
            <w:r>
              <w:rPr/>
              <w:t>B3-1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August 11, 2026, among The Macerich Partnership, L.P., a Delaware limited partnership, as issuer (the “</w:t>
      </w:r>
      <w:r>
        <w:rPr>
          <w:rFonts w:ascii="Times New Roman" w:hAnsi="Times New Roman"/>
          <w:b/>
          <w:sz w:val="20"/>
        </w:rPr>
        <w:t>Company</w:t>
      </w:r>
      <w:r>
        <w:rPr>
          <w:rFonts w:ascii="Times New Roman" w:hAnsi="Times New Roman"/>
          <w:sz w:val="20"/>
        </w:rPr>
        <w:t>”), The Macerich Company, a Maryland corporation (the “</w:t>
      </w:r>
      <w:r>
        <w:rPr>
          <w:rFonts w:ascii="Times New Roman" w:hAnsi="Times New Roman"/>
          <w:b/>
          <w:sz w:val="20"/>
        </w:rPr>
        <w:t>Parent Guarantor</w:t>
      </w:r>
      <w:r>
        <w:rPr>
          <w:rFonts w:ascii="Times New Roman" w:hAnsi="Times New Roman"/>
          <w:sz w:val="20"/>
        </w:rPr>
        <w:t>”), and U.S. Bank Trust Company, National Association, as trustee (the “</w:t>
      </w:r>
      <w:r>
        <w:rPr>
          <w:rFonts w:ascii="Times New Roman" w:hAnsi="Times New Roman"/>
          <w:b/>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party to this Indenture (as defined below) agrees as follows for the benefit of the other parties and for the equal and ratable benefit of the Holders (as defined below) of the Company’s 2.25% Exchangeable Senior Notes due 2031 (the “</w:t>
      </w:r>
      <w:r>
        <w:rPr>
          <w:rFonts w:ascii="Times New Roman" w:hAnsi="Times New Roman"/>
          <w:b/>
          <w:sz w:val="20"/>
        </w:rPr>
        <w:t>Notes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DEFINITIONS; RULES OF CONSTRUCTION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DEFINITIONS. </w:t>
      </w:r>
    </w:p>
    <w:p>
      <w:pPr>
        <w:pStyle w:val="TextBody"/>
        <w:bidi w:val="0"/>
        <w:spacing w:before="120" w:after="0"/>
        <w:jc w:val="left"/>
        <w:rPr/>
      </w:pPr>
      <w:r>
        <w:rPr/>
        <w:t>“</w:t>
      </w:r>
      <w:r>
        <w:rPr>
          <w:rFonts w:ascii="Times New Roman" w:hAnsi="Times New Roman"/>
          <w:b/>
          <w:sz w:val="20"/>
        </w:rPr>
        <w:t>Additional Interest</w:t>
      </w:r>
      <w:r>
        <w:rPr>
          <w:rFonts w:ascii="Times New Roman" w:hAnsi="Times New Roman"/>
          <w:sz w:val="20"/>
        </w:rPr>
        <w:t xml:space="preserve">” means any interest that accrues on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has the meaning set forth in Rule 144 as in effect on the Issue Date. </w:t>
      </w:r>
    </w:p>
    <w:p>
      <w:pPr>
        <w:pStyle w:val="TextBody"/>
        <w:bidi w:val="0"/>
        <w:spacing w:before="240" w:after="0"/>
        <w:jc w:val="left"/>
        <w:rPr/>
      </w:pPr>
      <w:r>
        <w:rPr/>
        <w:t>“</w:t>
      </w:r>
      <w:r>
        <w:rPr>
          <w:rFonts w:ascii="Times New Roman" w:hAnsi="Times New Roman"/>
          <w:b/>
          <w:sz w:val="20"/>
        </w:rPr>
        <w:t>Authorized Denomination</w:t>
      </w:r>
      <w:r>
        <w:rPr>
          <w:rFonts w:ascii="Times New Roman" w:hAnsi="Times New Roman"/>
          <w:sz w:val="20"/>
        </w:rPr>
        <w:t xml:space="preserve">” means, with respect to a Note, a principal amount thereof equal to $1,000 or any integral multiple of $1,000 in excess thereof.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Title 11, United States Code, or any similar U.S. federal or state law for the relief of debtors. </w:t>
      </w:r>
    </w:p>
    <w:p>
      <w:pPr>
        <w:pStyle w:val="TextBody"/>
        <w:bidi w:val="0"/>
        <w:spacing w:before="240" w:after="0"/>
        <w:jc w:val="left"/>
        <w:rPr/>
      </w:pPr>
      <w:r>
        <w:rPr/>
        <w:t>“</w:t>
      </w:r>
      <w:r>
        <w:rPr>
          <w:rFonts w:ascii="Times New Roman" w:hAnsi="Times New Roman"/>
          <w:b/>
          <w:sz w:val="20"/>
        </w:rPr>
        <w:t>Bid Solicitation Agent</w:t>
      </w:r>
      <w:r>
        <w:rPr>
          <w:rFonts w:ascii="Times New Roman" w:hAnsi="Times New Roman"/>
          <w:sz w:val="20"/>
        </w:rPr>
        <w:t xml:space="preserve">” means the Person who is required to obtain bids for the Trading Price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5.01(C)(i)(2)</w:t>
      </w:r>
      <w:r>
        <w:rPr>
          <w:rFonts w:ascii="Times New Roman" w:hAnsi="Times New Roman"/>
          <w:sz w:val="20"/>
        </w:rPr>
        <w:t xml:space="preserve"> and the definition of “Trading Price.” The initial Bid Solicitation Agent on the Issue Date will be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appoint any other Person (including any of the Company’s Subsidiaries) to be the Bid Solicitation Agent at any time after the Issue Date without prior notice.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(or, in the case of a non-corporate entity, the equivalent governing body) of the Company or the Parent Guarantor, as the context requires, or a committee of such board (or governing body) duly authorized to act on behalf of such board.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any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Common Equity</w:t>
      </w:r>
      <w:r>
        <w:rPr>
          <w:rFonts w:ascii="Times New Roman" w:hAnsi="Times New Roman"/>
          <w:sz w:val="20"/>
        </w:rPr>
        <w:t xml:space="preserve">” of any Person means the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$0.01 par value per share, of the Parent Guarantor,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Person named as such in the first paragraph of this Indenture and, subject to </w:t>
      </w:r>
      <w:r>
        <w:rPr>
          <w:rFonts w:ascii="Times New Roman" w:hAnsi="Times New Roman"/>
          <w:b/>
          <w:sz w:val="20"/>
        </w:rPr>
        <w:t>Article 6</w:t>
      </w:r>
      <w:r>
        <w:rPr>
          <w:rFonts w:ascii="Times New Roman" w:hAnsi="Times New Roman"/>
          <w:sz w:val="20"/>
        </w:rPr>
        <w:t xml:space="preserve">, its successors and assigns.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request or order signed on behalf of the Company by one (1) of its Officers or one (1) of its Parent Guarantor’s Officers and delivered to the Trustee. </w:t>
      </w:r>
    </w:p>
    <w:p>
      <w:pPr>
        <w:pStyle w:val="TextBody"/>
        <w:bidi w:val="0"/>
        <w:spacing w:before="240" w:after="0"/>
        <w:jc w:val="left"/>
        <w:rPr/>
      </w:pPr>
      <w:r>
        <w:rPr/>
        <w:t>“</w:t>
      </w:r>
      <w:r>
        <w:rPr>
          <w:rFonts w:ascii="Times New Roman" w:hAnsi="Times New Roman"/>
          <w:b/>
          <w:sz w:val="20"/>
        </w:rPr>
        <w:t>Daily Exchange Value</w:t>
      </w:r>
      <w:r>
        <w:rPr>
          <w:rFonts w:ascii="Times New Roman" w:hAnsi="Times New Roman"/>
          <w:sz w:val="20"/>
        </w:rPr>
        <w:t xml:space="preserve">” means, with respect to any VWAP Trading Day, one-fortieth (1/40th) of the product of (A) the Exchange Rate on such VWAP Trading Day; and (B) the Daily VWAP per share of Common Stock on such VWAP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Daily Net Settlement Amount</w:t>
      </w:r>
      <w:r>
        <w:rPr>
          <w:rFonts w:ascii="Times New Roman" w:hAnsi="Times New Roman"/>
          <w:sz w:val="20"/>
        </w:rPr>
        <w:t xml:space="preserve">,” for each of the 40 consecutive VWAP Trading Days during the relevant Observation Period, means: </w:t>
      </w:r>
    </w:p>
    <w:p>
      <w:pPr>
        <w:pStyle w:val="TextBody"/>
        <w:bidi w:val="0"/>
        <w:spacing w:before="120" w:after="0"/>
        <w:jc w:val="left"/>
        <w:rPr>
          <w:rFonts w:ascii="Times New Roman" w:hAnsi="Times New Roman"/>
          <w:sz w:val="20"/>
        </w:rPr>
      </w:pPr>
      <w:r>
        <w:rPr>
          <w:rFonts w:ascii="Times New Roman" w:hAnsi="Times New Roman"/>
          <w:sz w:val="20"/>
        </w:rPr>
        <w:t xml:space="preserve">(A) if the Company does not elect a Cash Percentage or the Company elects (or are deemed to have elected) a Cash Percentage of 0%, a number of Common Stock equal to (i) the difference between the daily exchange value and $25, divided by (ii) the daily VWAP for such VWAP Trading Day;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elects a Cash Percentage of 100%, cash in an amount equal to the difference between the Daily Exchange Value and $25; or </w:t>
      </w:r>
    </w:p>
    <w:p>
      <w:pPr>
        <w:pStyle w:val="TextBody"/>
        <w:bidi w:val="0"/>
        <w:spacing w:before="240" w:after="0"/>
        <w:jc w:val="left"/>
        <w:rPr>
          <w:rFonts w:ascii="Times New Roman" w:hAnsi="Times New Roman"/>
          <w:sz w:val="20"/>
        </w:rPr>
      </w:pPr>
      <w:r>
        <w:rPr>
          <w:rFonts w:ascii="Times New Roman" w:hAnsi="Times New Roman"/>
          <w:sz w:val="20"/>
        </w:rPr>
        <w:t xml:space="preserve">(C) if the Company elects a Cash Percentage of less than 100% but greater than 0%, (i) cash equal to the product of (x) the difference between the Daily Exchange Value and $25 and (y) the Cash Percentage, plus (ii) a number of shares of Common Stock equal to the product of (x) (A) the difference between the Daily Exchange Value and $25, divided by (B) the Daily VWAP for such VWAP Trading Day and (y) 100% minus the Cash Percentage. </w:t>
      </w:r>
    </w:p>
    <w:p>
      <w:pPr>
        <w:pStyle w:val="TextBody"/>
        <w:bidi w:val="0"/>
        <w:spacing w:before="240" w:after="0"/>
        <w:jc w:val="left"/>
        <w:rPr/>
      </w:pPr>
      <w:r>
        <w:rPr/>
        <w:t>“</w:t>
      </w:r>
      <w:r>
        <w:rPr>
          <w:rFonts w:ascii="Times New Roman" w:hAnsi="Times New Roman"/>
          <w:b/>
          <w:sz w:val="20"/>
        </w:rPr>
        <w:t>Daily Settlement Amount</w:t>
      </w:r>
      <w:r>
        <w:rPr>
          <w:rFonts w:ascii="Times New Roman" w:hAnsi="Times New Roman"/>
          <w:sz w:val="20"/>
        </w:rPr>
        <w:t xml:space="preserve">,” for each of the 40 consecutive VWAP trading days during the relevant Observation Period, shall consist of: </w:t>
      </w:r>
    </w:p>
    <w:p>
      <w:pPr>
        <w:pStyle w:val="TextBody"/>
        <w:bidi w:val="0"/>
        <w:spacing w:before="120" w:after="0"/>
        <w:jc w:val="left"/>
        <w:rPr>
          <w:rFonts w:ascii="Times New Roman" w:hAnsi="Times New Roman"/>
          <w:sz w:val="20"/>
        </w:rPr>
      </w:pPr>
      <w:r>
        <w:rPr>
          <w:rFonts w:ascii="Times New Roman" w:hAnsi="Times New Roman"/>
          <w:sz w:val="20"/>
        </w:rPr>
        <w:t xml:space="preserve">(A) cash equal to the lesser of (i) $25 and (y) the Daily Exchange Value; and </w:t>
      </w:r>
    </w:p>
    <w:p>
      <w:pPr>
        <w:pStyle w:val="TextBody"/>
        <w:bidi w:val="0"/>
        <w:spacing w:before="240" w:after="0"/>
        <w:jc w:val="left"/>
        <w:rPr>
          <w:rFonts w:ascii="Times New Roman" w:hAnsi="Times New Roman"/>
          <w:sz w:val="20"/>
        </w:rPr>
      </w:pPr>
      <w:r>
        <w:rPr>
          <w:rFonts w:ascii="Times New Roman" w:hAnsi="Times New Roman"/>
          <w:sz w:val="20"/>
        </w:rPr>
        <w:t xml:space="preserve">(B) if the Daily Exchange Value exceeds $25, the Daily Net Settlement Amount. </w:t>
      </w:r>
    </w:p>
    <w:p>
      <w:pPr>
        <w:pStyle w:val="TextBody"/>
        <w:bidi w:val="0"/>
        <w:spacing w:before="240" w:after="0"/>
        <w:jc w:val="left"/>
        <w:rPr/>
      </w:pPr>
      <w:r>
        <w:rPr/>
        <w:t>“</w:t>
      </w:r>
      <w:r>
        <w:rPr>
          <w:rFonts w:ascii="Times New Roman" w:hAnsi="Times New Roman"/>
          <w:b/>
          <w:sz w:val="20"/>
        </w:rPr>
        <w:t>Daily VWAP</w:t>
      </w:r>
      <w:r>
        <w:rPr>
          <w:rFonts w:ascii="Times New Roman" w:hAnsi="Times New Roman"/>
          <w:sz w:val="20"/>
        </w:rPr>
        <w:t xml:space="preserve">” means, for any VWAP Trading Day, the per share volume-weighted average price of the Common Stock as displayed under the heading “Bloomberg VWAP” on Bloomberg page “MAC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that is (or, after notice, passage of time or both, would be) an Event of Default.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The Depository Trust Company or its successor. </w:t>
      </w:r>
    </w:p>
    <w:p>
      <w:pPr>
        <w:pStyle w:val="TextBody"/>
        <w:bidi w:val="0"/>
        <w:spacing w:before="240" w:after="0"/>
        <w:jc w:val="left"/>
        <w:rPr/>
      </w:pPr>
      <w:r>
        <w:rPr/>
        <w:t>“</w:t>
      </w:r>
      <w:r>
        <w:rPr>
          <w:rFonts w:ascii="Times New Roman" w:hAnsi="Times New Roman"/>
          <w:b/>
          <w:sz w:val="20"/>
        </w:rPr>
        <w:t>Depositary Participant</w:t>
      </w:r>
      <w:r>
        <w:rPr>
          <w:rFonts w:ascii="Times New Roman" w:hAnsi="Times New Roman"/>
          <w:sz w:val="20"/>
        </w:rPr>
        <w:t xml:space="preserve">” means any member of, or participant in, the Depositary. </w:t>
      </w:r>
    </w:p>
    <w:p>
      <w:pPr>
        <w:pStyle w:val="TextBody"/>
        <w:bidi w:val="0"/>
        <w:spacing w:before="240" w:after="0"/>
        <w:jc w:val="left"/>
        <w:rPr/>
      </w:pPr>
      <w:r>
        <w:rPr/>
        <w:t>“</w:t>
      </w:r>
      <w:r>
        <w:rPr>
          <w:rFonts w:ascii="Times New Roman" w:hAnsi="Times New Roman"/>
          <w:b/>
          <w:sz w:val="20"/>
        </w:rPr>
        <w:t>Depositary Procedures</w:t>
      </w:r>
      <w:r>
        <w:rPr>
          <w:rFonts w:ascii="Times New Roman" w:hAnsi="Times New Roman"/>
          <w:sz w:val="20"/>
        </w:rPr>
        <w:t xml:space="preserve">” means, with respect to any Exchange, transfer, exchange or other transaction involving a Global Note or any beneficial interest therein, the rules and procedures of the Depositary applicable to such Exchange, transfer, exchange or transaction. </w:t>
      </w:r>
    </w:p>
    <w:p>
      <w:pPr>
        <w:pStyle w:val="TextBody"/>
        <w:bidi w:val="0"/>
        <w:spacing w:before="240" w:after="0"/>
        <w:jc w:val="left"/>
        <w:rPr/>
      </w:pPr>
      <w:r>
        <w:rPr/>
        <w:t>“</w:t>
      </w:r>
      <w:r>
        <w:rPr>
          <w:rFonts w:ascii="Times New Roman" w:hAnsi="Times New Roman"/>
          <w:b/>
          <w:sz w:val="20"/>
        </w:rPr>
        <w:t>Electronic Means</w:t>
      </w:r>
      <w:r>
        <w:rPr>
          <w:rFonts w:ascii="Times New Roman" w:hAnsi="Times New Roman"/>
          <w:sz w:val="20"/>
        </w:rPr>
        <w:t xml:space="preserve">” means the following communications methods: e-mail or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240" w:after="0"/>
        <w:jc w:val="left"/>
        <w:rPr/>
      </w:pPr>
      <w:r>
        <w:rPr/>
        <w:t>“</w:t>
      </w:r>
      <w:r>
        <w:rPr>
          <w:rFonts w:ascii="Times New Roman" w:hAnsi="Times New Roman"/>
          <w:b/>
          <w:sz w:val="20"/>
        </w:rPr>
        <w:t>Ex-Dividend Date</w:t>
      </w:r>
      <w:r>
        <w:rPr>
          <w:rFonts w:ascii="Times New Roman" w:hAnsi="Times New Roman"/>
          <w:sz w:val="20"/>
        </w:rPr>
        <w:t xml:space="preserve">”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means, with respect to any Note, the exchange of such note pursuant to </w:t>
      </w:r>
      <w:r>
        <w:rPr>
          <w:rFonts w:ascii="Times New Roman" w:hAnsi="Times New Roman"/>
          <w:b/>
          <w:sz w:val="20"/>
        </w:rPr>
        <w:t>Article 5</w:t>
      </w:r>
      <w:r>
        <w:rPr>
          <w:rFonts w:ascii="Times New Roman" w:hAnsi="Times New Roman"/>
          <w:sz w:val="20"/>
        </w:rPr>
        <w:t xml:space="preserve"> into Exchange Consideration. The terms “Exchanged,” “Exchanging” and “Exchangeable” have meanings correlative to the foregoing.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Exchange Date</w:t>
      </w:r>
      <w:r>
        <w:rPr>
          <w:rFonts w:ascii="Times New Roman" w:hAnsi="Times New Roman"/>
          <w:sz w:val="20"/>
        </w:rPr>
        <w:t xml:space="preserve">” means, with respect to a Note, the first Business Day on which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5.02(A)</w:t>
      </w:r>
      <w:r>
        <w:rPr>
          <w:rFonts w:ascii="Times New Roman" w:hAnsi="Times New Roman"/>
          <w:sz w:val="20"/>
        </w:rPr>
        <w:t xml:space="preserve"> to Exchange such Note are satisfied. </w:t>
      </w:r>
    </w:p>
    <w:p>
      <w:pPr>
        <w:pStyle w:val="TextBody"/>
        <w:bidi w:val="0"/>
        <w:spacing w:before="240" w:after="0"/>
        <w:jc w:val="left"/>
        <w:rPr/>
      </w:pPr>
      <w:r>
        <w:rPr/>
        <w:t>“</w:t>
      </w:r>
      <w:r>
        <w:rPr>
          <w:rFonts w:ascii="Times New Roman" w:hAnsi="Times New Roman"/>
          <w:b/>
          <w:sz w:val="20"/>
        </w:rPr>
        <w:t>Exchange Price</w:t>
      </w:r>
      <w:r>
        <w:rPr>
          <w:rFonts w:ascii="Times New Roman" w:hAnsi="Times New Roman"/>
          <w:sz w:val="20"/>
        </w:rPr>
        <w:t xml:space="preserve">” means, as of any time, an amount equal to (A) one thousand dollars ($1,000) </w:t>
      </w:r>
      <w:r>
        <w:rPr>
          <w:rFonts w:ascii="Times New Roman" w:hAnsi="Times New Roman"/>
          <w:i/>
          <w:sz w:val="20"/>
        </w:rPr>
        <w:t>divided by</w:t>
      </w:r>
      <w:r>
        <w:rPr>
          <w:rFonts w:ascii="Times New Roman" w:hAnsi="Times New Roman"/>
          <w:sz w:val="20"/>
        </w:rPr>
        <w:t xml:space="preserve"> (B) the Exchange Rate in effect at such time. </w:t>
      </w:r>
    </w:p>
    <w:p>
      <w:pPr>
        <w:pStyle w:val="TextBody"/>
        <w:bidi w:val="0"/>
        <w:spacing w:before="240" w:after="0"/>
        <w:jc w:val="left"/>
        <w:rPr/>
      </w:pPr>
      <w:r>
        <w:rPr/>
        <w:t>“</w:t>
      </w:r>
      <w:r>
        <w:rPr>
          <w:rFonts w:ascii="Times New Roman" w:hAnsi="Times New Roman"/>
          <w:b/>
          <w:sz w:val="20"/>
        </w:rPr>
        <w:t>Exchange Rate</w:t>
      </w:r>
      <w:r>
        <w:rPr>
          <w:rFonts w:ascii="Times New Roman" w:hAnsi="Times New Roman"/>
          <w:sz w:val="20"/>
        </w:rPr>
        <w:t xml:space="preserve">” initially means 35.4761 shares of Common Stock per $1,000 principal amount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Exchange Rate is subject to adjustment pursuant to </w:t>
      </w:r>
      <w:r>
        <w:rPr>
          <w:rFonts w:ascii="Times New Roman" w:hAnsi="Times New Roman"/>
          <w:b/>
          <w:sz w:val="20"/>
        </w:rPr>
        <w:t>Article 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whenever this Indenture refers to the Exchange Rate as of a particular date without setting forth a particular time on such date, such reference will be deemed to be to the Exchange Rate immediately after the Close of Business on such date. </w:t>
      </w:r>
    </w:p>
    <w:p>
      <w:pPr>
        <w:pStyle w:val="TextBody"/>
        <w:bidi w:val="0"/>
        <w:spacing w:before="240" w:after="0"/>
        <w:jc w:val="left"/>
        <w:rPr/>
      </w:pPr>
      <w:r>
        <w:rPr/>
        <w:t>“</w:t>
      </w:r>
      <w:r>
        <w:rPr>
          <w:rFonts w:ascii="Times New Roman" w:hAnsi="Times New Roman"/>
          <w:b/>
          <w:sz w:val="20"/>
        </w:rPr>
        <w:t>Exchange Share</w:t>
      </w:r>
      <w:r>
        <w:rPr>
          <w:rFonts w:ascii="Times New Roman" w:hAnsi="Times New Roman"/>
          <w:sz w:val="20"/>
        </w:rPr>
        <w:t xml:space="preserve">” means any share of Common Stock delivered or deliverable upon Exchange of any Note. </w:t>
      </w:r>
    </w:p>
    <w:p>
      <w:pPr>
        <w:pStyle w:val="TextBody"/>
        <w:bidi w:val="0"/>
        <w:spacing w:before="240" w:after="0"/>
        <w:jc w:val="left"/>
        <w:rPr/>
      </w:pPr>
      <w:r>
        <w:rPr/>
        <w:t>“</w:t>
      </w:r>
      <w:r>
        <w:rPr>
          <w:rFonts w:ascii="Times New Roman" w:hAnsi="Times New Roman"/>
          <w:b/>
          <w:sz w:val="20"/>
        </w:rPr>
        <w:t>Exempted Fundamental Change</w:t>
      </w:r>
      <w:r>
        <w:rPr>
          <w:rFonts w:ascii="Times New Roman" w:hAnsi="Times New Roman"/>
          <w:sz w:val="20"/>
        </w:rPr>
        <w:t xml:space="preserve">” means any Fundamental Change with respect to which,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4.02(I)</w:t>
      </w:r>
      <w:r>
        <w:rPr>
          <w:rFonts w:ascii="Times New Roman" w:hAnsi="Times New Roman"/>
          <w:sz w:val="20"/>
        </w:rPr>
        <w:t xml:space="preserve">, the Company does not offer to repurchase any Notes. </w:t>
      </w:r>
    </w:p>
    <w:p>
      <w:pPr>
        <w:pStyle w:val="TextBody"/>
        <w:bidi w:val="0"/>
        <w:spacing w:before="240" w:after="0"/>
        <w:jc w:val="left"/>
        <w:rPr/>
      </w:pPr>
      <w:r>
        <w:rPr/>
        <w:t>“</w:t>
      </w:r>
      <w:r>
        <w:rPr>
          <w:rFonts w:ascii="Times New Roman" w:hAnsi="Times New Roman"/>
          <w:b/>
          <w:sz w:val="20"/>
        </w:rPr>
        <w:t>Fundamental Change</w:t>
      </w:r>
      <w:r>
        <w:rPr>
          <w:rFonts w:ascii="Times New Roman" w:hAnsi="Times New Roman"/>
          <w:sz w:val="20"/>
        </w:rPr>
        <w:t xml:space="preserve">” means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a “person” or “group” (within the meaning of Section 13(d)(3) of the Exchange Act), other than the Company, the Parent Guarantor or the Company’s or the Parent Guarantor’s respective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 provided, however, that, for purposes of this clause (A), no “person” or “group” will be deemed to be the beneficial owner of any securities tendered pursuant to a tender or exchange offer made by or on behalf of such “person” or “group” until such tendered securities are accepted for purchase or exchange in such offer; </w:t>
      </w:r>
    </w:p>
    <w:p>
      <w:pPr>
        <w:pStyle w:val="TextBody"/>
        <w:bidi w:val="0"/>
        <w:spacing w:before="240" w:after="0"/>
        <w:jc w:val="left"/>
        <w:rPr>
          <w:rFonts w:ascii="Times New Roman" w:hAnsi="Times New Roman"/>
          <w:sz w:val="20"/>
        </w:rPr>
      </w:pPr>
      <w:r>
        <w:rPr>
          <w:rFonts w:ascii="Times New Roman" w:hAnsi="Times New Roman"/>
          <w:sz w:val="20"/>
        </w:rPr>
        <w:t xml:space="preserve">(B) the consummation of (i) any sale, lease or other transfer, in one transaction or a series of transactions, of all or substantially all of the assets of the Parent Guarantor and its Subsidiaries, taken as a whole, to any Person, other than solely to the Company or one or more of the Company’s or the Parent Guarantor’s respective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merger, consolidation, share exchange or combination of the Parent Guarantor pursuant to which the Persons that directly or indirectly “beneficially owned” (as defined below) all classes of the Parent Guarantor’s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hAnsi="Times New Roman"/>
          <w:b/>
          <w:sz w:val="20"/>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partners of the Company or the stockholders of the Parent Guarantor approve any plan or proposal for the liquidation or dissolution of the Company or the Parent Guarantor; or </w:t>
      </w:r>
    </w:p>
    <w:p>
      <w:pPr>
        <w:pStyle w:val="TextBody"/>
        <w:bidi w:val="0"/>
        <w:spacing w:before="240" w:after="0"/>
        <w:jc w:val="left"/>
        <w:rPr>
          <w:rFonts w:ascii="Times New Roman" w:hAnsi="Times New Roman"/>
          <w:sz w:val="20"/>
        </w:rPr>
      </w:pPr>
      <w:r>
        <w:rPr>
          <w:rFonts w:ascii="Times New Roman" w:hAnsi="Times New Roman"/>
          <w:sz w:val="20"/>
        </w:rPr>
        <w:t xml:space="preserve">(D) the Common Stock ceases to be listed on any of the New York Stock Exchange, the Nasdaq Global Market or the Nasdaq Global Select Market (or any of their respective successors);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event described in </w:t>
      </w:r>
      <w:r>
        <w:rPr>
          <w:rFonts w:ascii="Times New Roman" w:hAnsi="Times New Roman"/>
          <w:b/>
          <w:sz w:val="20"/>
        </w:rPr>
        <w:t>clause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definition, (x) any transaction or event described in both </w:t>
      </w:r>
      <w:r>
        <w:rPr>
          <w:rFonts w:ascii="Times New Roman" w:hAnsi="Times New Roman"/>
          <w:b/>
          <w:sz w:val="20"/>
        </w:rPr>
        <w:t>clause (A)</w:t>
      </w:r>
      <w:r>
        <w:rPr>
          <w:rFonts w:ascii="Times New Roman" w:hAnsi="Times New Roman"/>
          <w:sz w:val="20"/>
        </w:rPr>
        <w:t xml:space="preserve"> and in </w:t>
      </w:r>
      <w:r>
        <w:rPr>
          <w:rFonts w:ascii="Times New Roman" w:hAnsi="Times New Roman"/>
          <w:b/>
          <w:sz w:val="20"/>
        </w:rPr>
        <w:t>clause (B)(i)</w:t>
      </w:r>
      <w:r>
        <w:rPr>
          <w:rFonts w:ascii="Times New Roman" w:hAnsi="Times New Roman"/>
          <w:sz w:val="20"/>
        </w:rPr>
        <w:t xml:space="preserve"> or </w:t>
      </w:r>
      <w:r>
        <w:rPr>
          <w:rFonts w:ascii="Times New Roman" w:hAnsi="Times New Roman"/>
          <w:b/>
          <w:sz w:val="20"/>
        </w:rPr>
        <w:t>(ii)</w:t>
      </w:r>
      <w:r>
        <w:rPr>
          <w:rFonts w:ascii="Times New Roman" w:hAnsi="Times New Roman"/>
          <w:sz w:val="20"/>
        </w:rPr>
        <w:t xml:space="preserve"> above (without regard to the proviso in </w:t>
      </w:r>
      <w:r>
        <w:rPr>
          <w:rFonts w:ascii="Times New Roman" w:hAnsi="Times New Roman"/>
          <w:b/>
          <w:sz w:val="20"/>
        </w:rPr>
        <w:t>clause (B)</w:t>
      </w:r>
      <w:r>
        <w:rPr>
          <w:rFonts w:ascii="Times New Roman" w:hAnsi="Times New Roman"/>
          <w:sz w:val="20"/>
        </w:rPr>
        <w:t xml:space="preserve">) will be deemed to occur solely pursuant to </w:t>
      </w:r>
      <w:r>
        <w:rPr>
          <w:rFonts w:ascii="Times New Roman" w:hAnsi="Times New Roman"/>
          <w:b/>
          <w:sz w:val="20"/>
        </w:rPr>
        <w:t>clause (B)</w:t>
      </w:r>
      <w:r>
        <w:rPr>
          <w:rFonts w:ascii="Times New Roman" w:hAnsi="Times New Roman"/>
          <w:sz w:val="20"/>
        </w:rPr>
        <w:t> above (subject to such proviso); and (y) whether a Person is a “</w:t>
      </w:r>
      <w:r>
        <w:rPr>
          <w:rFonts w:ascii="Times New Roman" w:hAnsi="Times New Roman"/>
          <w:b/>
          <w:sz w:val="20"/>
        </w:rPr>
        <w:t>beneficial owner</w:t>
      </w:r>
      <w:r>
        <w:rPr>
          <w:rFonts w:ascii="Times New Roman" w:hAnsi="Times New Roman"/>
          <w:sz w:val="20"/>
        </w:rPr>
        <w:t>,” whether shares are “</w:t>
      </w:r>
      <w:r>
        <w:rPr>
          <w:rFonts w:ascii="Times New Roman" w:hAnsi="Times New Roman"/>
          <w:b/>
          <w:sz w:val="20"/>
        </w:rPr>
        <w:t>beneficially owned</w:t>
      </w:r>
      <w:r>
        <w:rPr>
          <w:rFonts w:ascii="Times New Roman" w:hAnsi="Times New Roman"/>
          <w:sz w:val="20"/>
        </w:rPr>
        <w:t xml:space="preserve">,” and percentage beneficial ownership, will be determined in accordance with Rule 13d-3 under the Exchange Act, subject to the proviso in clause (A) above. </w:t>
      </w:r>
    </w:p>
    <w:p>
      <w:pPr>
        <w:pStyle w:val="TextBody"/>
        <w:bidi w:val="0"/>
        <w:spacing w:before="240" w:after="0"/>
        <w:jc w:val="left"/>
        <w:rPr/>
      </w:pPr>
      <w:r>
        <w:rPr/>
        <w:t>“</w:t>
      </w:r>
      <w:r>
        <w:rPr>
          <w:rFonts w:ascii="Times New Roman" w:hAnsi="Times New Roman"/>
          <w:b/>
          <w:sz w:val="20"/>
        </w:rPr>
        <w:t>Fundamental Change Repurchase Date</w:t>
      </w:r>
      <w:r>
        <w:rPr>
          <w:rFonts w:ascii="Times New Roman" w:hAnsi="Times New Roman"/>
          <w:sz w:val="20"/>
        </w:rPr>
        <w:t xml:space="preserve">” means the date fixed for the repurchase of any Notes by the Company pursuant to a Repurchase Upon Fundamental Change. </w:t>
      </w:r>
    </w:p>
    <w:p>
      <w:pPr>
        <w:pStyle w:val="TextBody"/>
        <w:bidi w:val="0"/>
        <w:spacing w:before="240" w:after="0"/>
        <w:jc w:val="left"/>
        <w:rPr/>
      </w:pPr>
      <w:r>
        <w:rPr/>
        <w:t>“</w:t>
      </w:r>
      <w:r>
        <w:rPr>
          <w:rFonts w:ascii="Times New Roman" w:hAnsi="Times New Roman"/>
          <w:b/>
          <w:sz w:val="20"/>
        </w:rPr>
        <w:t>Fundamental Change Repurchase Notice</w:t>
      </w:r>
      <w:r>
        <w:rPr>
          <w:rFonts w:ascii="Times New Roman" w:hAnsi="Times New Roman"/>
          <w:sz w:val="20"/>
        </w:rPr>
        <w:t xml:space="preserve">” means a notice (including a notice substantially in the form of the “Fundamental Change Repurchase Notice” set forth in </w:t>
      </w:r>
      <w:r>
        <w:rPr>
          <w:rFonts w:ascii="Times New Roman" w:hAnsi="Times New Roman"/>
          <w:b/>
          <w:sz w:val="20"/>
        </w:rPr>
        <w:t>Exhibit A</w:t>
      </w:r>
      <w:r>
        <w:rPr>
          <w:rFonts w:ascii="Times New Roman" w:hAnsi="Times New Roman"/>
          <w:sz w:val="20"/>
        </w:rPr>
        <w:t xml:space="preserve">) containing the information, or otherwise complying with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4.02(F)(i)</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4.02(F)(ii)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 Repurchase Price</w:t>
      </w:r>
      <w:r>
        <w:rPr>
          <w:rFonts w:ascii="Times New Roman" w:hAnsi="Times New Roman"/>
          <w:sz w:val="20"/>
        </w:rPr>
        <w:t xml:space="preserve">” means the cash price payable by the Company to repurchase any Note upon its Repurchase Upon Fundamental Change, calculated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means a Note that is represented by a certificate substantially in the form set forth in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registered in the name of the Depositary or its nominee, duly executed by the Company and authenticated by the Trustee, and deposited with the Trustee, as custodian for the Depositary. </w:t>
      </w:r>
    </w:p>
    <w:p>
      <w:pPr>
        <w:pStyle w:val="TextBody"/>
        <w:bidi w:val="0"/>
        <w:spacing w:before="240" w:after="0"/>
        <w:jc w:val="left"/>
        <w:rPr/>
      </w:pPr>
      <w:r>
        <w:rPr/>
        <w:t>“</w:t>
      </w:r>
      <w:r>
        <w:rPr>
          <w:rFonts w:ascii="Times New Roman" w:hAnsi="Times New Roman"/>
          <w:b/>
          <w:sz w:val="20"/>
        </w:rPr>
        <w:t>Global Note Legend</w:t>
      </w:r>
      <w:r>
        <w:rPr>
          <w:rFonts w:ascii="Times New Roman" w:hAnsi="Times New Roman"/>
          <w:sz w:val="20"/>
        </w:rPr>
        <w:t xml:space="preserve">” means a legend substantially in the form set forth in </w:t>
      </w:r>
      <w:r>
        <w:rPr>
          <w:rFonts w:ascii="Times New Roman" w:hAnsi="Times New Roman"/>
          <w:b/>
          <w:sz w:val="20"/>
        </w:rPr>
        <w:t>Exhibit B-2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means the guarantee by the Parent Guarantor of the Company’s obligations under this Indenture and the Notes pursuant to Article 9.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 person in whose name a Note is registered on the Registrar’s books.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b/>
          <w:sz w:val="20"/>
        </w:rPr>
        <w:t>Initial Purchasers</w:t>
      </w:r>
      <w:r>
        <w:rPr>
          <w:rFonts w:ascii="Times New Roman" w:hAnsi="Times New Roman"/>
          <w:sz w:val="20"/>
        </w:rPr>
        <w:t xml:space="preserve">” means J.P. Morgan Securities LLC, Morgan Stanley &amp; Co. LLC, Deutsche Bank Securities Inc., Goldman Sachs &amp; Co. LLC, BMO Capital Markets Corp., TD Securities (USA) LLC, Scotia Capital (USA) Inc. and KeyBanc Capital Markets Inc.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means, with respect to a Note, each February 15 and August 15 of each year, commencing on February 15, 2027 (or commencing on such other date specified in the certificate representing such Note). For the avoidance of doubt, the Maturity Date is an Interest Payment Date.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August 11, 2026. </w:t>
      </w:r>
    </w:p>
    <w:p>
      <w:pPr>
        <w:pStyle w:val="TextBody"/>
        <w:bidi w:val="0"/>
        <w:spacing w:before="240" w:after="0"/>
        <w:jc w:val="left"/>
        <w:rPr/>
      </w:pPr>
      <w:r>
        <w:rPr/>
        <w:t>“</w:t>
      </w:r>
      <w:r>
        <w:rPr>
          <w:rFonts w:ascii="Times New Roman" w:hAnsi="Times New Roman"/>
          <w:b/>
          <w:sz w:val="20"/>
        </w:rPr>
        <w:t>Last Reported Sale Price</w:t>
      </w:r>
      <w:r>
        <w:rPr>
          <w:rFonts w:ascii="Times New Roman" w:hAnsi="Times New Roman"/>
          <w:sz w:val="20"/>
        </w:rPr>
        <w:t xml:space="preserve">”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Exchange Agent will have any duty to determine the Last Reported Sale Price. </w:t>
      </w:r>
    </w:p>
    <w:p>
      <w:pPr>
        <w:pStyle w:val="TextBody"/>
        <w:bidi w:val="0"/>
        <w:spacing w:before="240" w:after="0"/>
        <w:jc w:val="left"/>
        <w:rPr/>
      </w:pPr>
      <w:r>
        <w:rPr/>
        <w:t>“</w:t>
      </w:r>
      <w:r>
        <w:rPr>
          <w:rFonts w:ascii="Times New Roman" w:hAnsi="Times New Roman"/>
          <w:b/>
          <w:sz w:val="20"/>
        </w:rPr>
        <w:t>Liquidity Conditions</w:t>
      </w:r>
      <w:r>
        <w:rPr>
          <w:rFonts w:ascii="Times New Roman" w:hAnsi="Times New Roman"/>
          <w:sz w:val="20"/>
        </w:rPr>
        <w:t xml:space="preserve">” means, with respect to the Redemption of any Notes, that, as of the Redemption Notice Date for such Redemption, (A) no event has occurred and is continuing that would result in the accrual of Additional Interest on such Notes; (B) the Company and the Parent Guarantor are not in breach of any of their respective obligations under the Registration Rights Agreement (if any) for such Notes; and (C) the Resale Registration Statement for such Notes is (and is reasonably expected to continue to be through at least the thirtieth (30th) calendar day after the Redemption Date for such Redemption) effective under the Securities Act and available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use as contemplated by such Registration Rights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Liquidity Conditions will be deemed to be satisfied with respect to such Redemption if,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5.03(A)(i)(3)</w:t>
      </w:r>
      <w:r>
        <w:rPr>
          <w:rFonts w:ascii="Times New Roman" w:hAnsi="Times New Roman"/>
          <w:sz w:val="20"/>
        </w:rPr>
        <w:t xml:space="preserve">, the Company has elected a Cash Percentage of 100% with respect to the settlement of all Exchanges of Notes with an Exchange Date that occurs on or after such Redemption Notice Date for the related Redemption and on or before the second (2nd) Business Day immediately before such Redemption Date by Cash Settlement. </w:t>
      </w:r>
    </w:p>
    <w:p>
      <w:pPr>
        <w:pStyle w:val="TextBody"/>
        <w:bidi w:val="0"/>
        <w:spacing w:before="240" w:after="0"/>
        <w:jc w:val="left"/>
        <w:rPr/>
      </w:pPr>
      <w:r>
        <w:rPr/>
        <w:t>“</w:t>
      </w:r>
      <w:r>
        <w:rPr>
          <w:rFonts w:ascii="Times New Roman" w:hAnsi="Times New Roman"/>
          <w:b/>
          <w:sz w:val="20"/>
        </w:rPr>
        <w:t>Make-Whole Fundamental Change</w:t>
      </w:r>
      <w:r>
        <w:rPr>
          <w:rFonts w:ascii="Times New Roman" w:hAnsi="Times New Roman"/>
          <w:sz w:val="20"/>
        </w:rPr>
        <w:t xml:space="preserve">” means (A) a Fundamental Change (determined after giving effect to the proviso immediately after </w:t>
      </w:r>
      <w:r>
        <w:rPr>
          <w:rFonts w:ascii="Times New Roman" w:hAnsi="Times New Roman"/>
          <w:b/>
          <w:sz w:val="20"/>
        </w:rPr>
        <w:t>clause (D)</w:t>
      </w:r>
      <w:r>
        <w:rPr>
          <w:rFonts w:ascii="Times New Roman" w:hAnsi="Times New Roman"/>
          <w:sz w:val="20"/>
        </w:rPr>
        <w:t xml:space="preserve"> of the definition thereof, but without regard to the proviso to </w:t>
      </w:r>
      <w:r>
        <w:rPr>
          <w:rFonts w:ascii="Times New Roman" w:hAnsi="Times New Roman"/>
          <w:b/>
          <w:sz w:val="20"/>
        </w:rPr>
        <w:t>clause (B)(ii)</w:t>
      </w:r>
      <w:r>
        <w:rPr>
          <w:rFonts w:ascii="Times New Roman" w:hAnsi="Times New Roman"/>
          <w:sz w:val="20"/>
        </w:rPr>
        <w:t xml:space="preserve"> of such definition); or (B) the sending of a Redemption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the sending of a Redemption Notice will constitute a Make-Whole Fundamental Change only with respect to the Notes called for Redemption pursuant to such Redemption Notice and not with respect to any other Notes. </w:t>
      </w:r>
    </w:p>
    <w:p>
      <w:pPr>
        <w:pStyle w:val="TextBody"/>
        <w:bidi w:val="0"/>
        <w:spacing w:before="240" w:after="0"/>
        <w:jc w:val="left"/>
        <w:rPr/>
      </w:pPr>
      <w:r>
        <w:rPr/>
        <w:t>“</w:t>
      </w:r>
      <w:r>
        <w:rPr>
          <w:rFonts w:ascii="Times New Roman" w:hAnsi="Times New Roman"/>
          <w:b/>
          <w:sz w:val="20"/>
        </w:rPr>
        <w:t>Make-Whole Fundamental Change Effective Date</w:t>
      </w:r>
      <w:r>
        <w:rPr>
          <w:rFonts w:ascii="Times New Roman" w:hAnsi="Times New Roman"/>
          <w:sz w:val="20"/>
        </w:rPr>
        <w:t xml:space="preserve">” means (A) with respect to a Make-Whole Fundamental Change pursuant to </w:t>
      </w:r>
      <w:r>
        <w:rPr>
          <w:rFonts w:ascii="Times New Roman" w:hAnsi="Times New Roman"/>
          <w:b/>
          <w:sz w:val="20"/>
        </w:rPr>
        <w:t>clause (A)</w:t>
      </w:r>
      <w:r>
        <w:rPr>
          <w:rFonts w:ascii="Times New Roman" w:hAnsi="Times New Roman"/>
          <w:sz w:val="20"/>
        </w:rPr>
        <w:t xml:space="preserve"> of the definition thereof, the date on which such Make-Whole Fundamental Change occurs or becomes effective; and (B) with respect to a Make-Whole Fundamental Change pursuant to </w:t>
      </w:r>
      <w:r>
        <w:rPr>
          <w:rFonts w:ascii="Times New Roman" w:hAnsi="Times New Roman"/>
          <w:b/>
          <w:sz w:val="20"/>
        </w:rPr>
        <w:t>clause (B)</w:t>
      </w:r>
      <w:r>
        <w:rPr>
          <w:rFonts w:ascii="Times New Roman" w:hAnsi="Times New Roman"/>
          <w:sz w:val="20"/>
        </w:rPr>
        <w:t xml:space="preserve"> of the definition thereof, the applicable Redemption Notice Date. </w:t>
      </w:r>
    </w:p>
    <w:p>
      <w:pPr>
        <w:pStyle w:val="TextBody"/>
        <w:bidi w:val="0"/>
        <w:spacing w:before="240" w:after="0"/>
        <w:jc w:val="left"/>
        <w:rPr/>
      </w:pPr>
      <w:r>
        <w:rPr/>
        <w:t>“</w:t>
      </w:r>
      <w:r>
        <w:rPr>
          <w:rFonts w:ascii="Times New Roman" w:hAnsi="Times New Roman"/>
          <w:b/>
          <w:sz w:val="20"/>
        </w:rPr>
        <w:t>Make-Whole Fundamental Change Exchange Period</w:t>
      </w:r>
      <w:r>
        <w:rPr>
          <w:rFonts w:ascii="Times New Roman" w:hAnsi="Times New Roman"/>
          <w:sz w:val="20"/>
        </w:rPr>
        <w:t xml:space="preserve">” has the following meaning: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Make-Whole Fundamental Change pursuant to </w:t>
      </w:r>
      <w:r>
        <w:rPr>
          <w:rFonts w:ascii="Times New Roman" w:hAnsi="Times New Roman"/>
          <w:b/>
          <w:sz w:val="20"/>
        </w:rPr>
        <w:t>clause (A)</w:t>
      </w:r>
      <w:r>
        <w:rPr>
          <w:rFonts w:ascii="Times New Roman" w:hAnsi="Times New Roman"/>
          <w:sz w:val="20"/>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 Make-Whole Fundamental Change pursuant to </w:t>
      </w:r>
      <w:r>
        <w:rPr>
          <w:rFonts w:ascii="Times New Roman" w:hAnsi="Times New Roman"/>
          <w:b/>
          <w:sz w:val="20"/>
        </w:rPr>
        <w:t>clause (B)</w:t>
      </w:r>
      <w:r>
        <w:rPr>
          <w:rFonts w:ascii="Times New Roman" w:hAnsi="Times New Roman"/>
          <w:sz w:val="20"/>
        </w:rPr>
        <w:t xml:space="preserve"> of the definition thereof, the period from, and including, the Redemption Notice Date for the related Redemption to, and including, the second (2nd) Business Day immediately before the related Redemption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Exchange Date for the Exchange of a Note that has been called (or deemed,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to be called) for Redemption occurs during the Make-Whole Fundamental Change Exchange Period for both a Make-Whole Fundamental Change occurring pursuant to </w:t>
      </w:r>
      <w:r>
        <w:rPr>
          <w:rFonts w:ascii="Times New Roman" w:hAnsi="Times New Roman"/>
          <w:b/>
          <w:sz w:val="20"/>
        </w:rPr>
        <w:t>clause (A)</w:t>
      </w:r>
      <w:r>
        <w:rPr>
          <w:rFonts w:ascii="Times New Roman" w:hAnsi="Times New Roman"/>
          <w:sz w:val="20"/>
        </w:rPr>
        <w:t xml:space="preserve"> of the definition of “Make-Whole Fundamental Change” and a Make-Whole Fundamental Change resulting from such Redemption pursuant to </w:t>
      </w:r>
      <w:r>
        <w:rPr>
          <w:rFonts w:ascii="Times New Roman" w:hAnsi="Times New Roman"/>
          <w:b/>
          <w:sz w:val="20"/>
        </w:rPr>
        <w:t>clause (B)</w:t>
      </w:r>
      <w:r>
        <w:rPr>
          <w:rFonts w:ascii="Times New Roman" w:hAnsi="Times New Roman"/>
          <w:sz w:val="20"/>
        </w:rPr>
        <w:t xml:space="preserve"> of such definition, then,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solely for purposes of such Exchange, (x) such Exchange Date will be deemed to occur solely during the Make-Whole Fundamental Change Exchange Period for the Make-Whole Fundamental Change with the earlier Make-Whole Fundamental Change Effective Date; and (y) the Make-Whole Fundamental Change with the later Make-Whole Fundamental Change Effective Date will be deemed not to have occurred.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 provided, however, that a restriction on trading imposed solely by Rule 201 of Regulation SHO promulgated under the Exchange Act (as in effect on the date of this Indenture) shall not constitute a “Market Disruption Event.”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August 15, 2031. </w:t>
      </w:r>
    </w:p>
    <w:p>
      <w:pPr>
        <w:pStyle w:val="TextBody"/>
        <w:bidi w:val="0"/>
        <w:spacing w:before="240" w:after="0"/>
        <w:jc w:val="left"/>
        <w:rPr/>
      </w:pPr>
      <w:r>
        <w:rPr/>
        <w:t>“</w:t>
      </w:r>
      <w:r>
        <w:rPr>
          <w:rFonts w:ascii="Times New Roman" w:hAnsi="Times New Roman"/>
          <w:b/>
          <w:sz w:val="20"/>
        </w:rPr>
        <w:t>Non-Affiliate Legend</w:t>
      </w:r>
      <w:r>
        <w:rPr>
          <w:rFonts w:ascii="Times New Roman" w:hAnsi="Times New Roman"/>
          <w:sz w:val="20"/>
        </w:rPr>
        <w:t xml:space="preserve">” means a legend substantially in the form set forth in </w:t>
      </w:r>
      <w:r>
        <w:rPr>
          <w:rFonts w:ascii="Times New Roman" w:hAnsi="Times New Roman"/>
          <w:b/>
          <w:sz w:val="20"/>
        </w:rPr>
        <w:t>Exhibit 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Note Agent</w:t>
      </w:r>
      <w:r>
        <w:rPr>
          <w:rFonts w:ascii="Times New Roman" w:hAnsi="Times New Roman"/>
          <w:sz w:val="20"/>
        </w:rPr>
        <w:t xml:space="preserve">” means any Registrar, Paying Agent or Exchange Agent.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means the 2.25% Exchangeable Senior Notes due 2031 issued by the Company pursuant to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Notice and Questionnaire</w:t>
      </w:r>
      <w:r>
        <w:rPr>
          <w:rFonts w:ascii="Times New Roman" w:hAnsi="Times New Roman"/>
          <w:sz w:val="20"/>
        </w:rPr>
        <w:t xml:space="preserve">” has the meaning set forth in the applicable Registration Rights Agreement (subject to any limitations set forth in such Registration Rights Agreement that apply to the application of such definition for purposes of this Indenture). </w:t>
      </w:r>
    </w:p>
    <w:p>
      <w:pPr>
        <w:pStyle w:val="TextBody"/>
        <w:bidi w:val="0"/>
        <w:spacing w:before="240" w:after="0"/>
        <w:jc w:val="left"/>
        <w:rPr/>
      </w:pPr>
      <w:r>
        <w:rPr/>
        <w:t>“</w:t>
      </w:r>
      <w:r>
        <w:rPr>
          <w:rFonts w:ascii="Times New Roman" w:hAnsi="Times New Roman"/>
          <w:b/>
          <w:sz w:val="20"/>
        </w:rPr>
        <w:t>Notice Holder</w:t>
      </w:r>
      <w:r>
        <w:rPr>
          <w:rFonts w:ascii="Times New Roman" w:hAnsi="Times New Roman"/>
          <w:sz w:val="20"/>
        </w:rPr>
        <w:t xml:space="preserve">” has the meaning set forth in the Registration Rights Agreement. </w:t>
      </w:r>
    </w:p>
    <w:p>
      <w:pPr>
        <w:pStyle w:val="TextBody"/>
        <w:bidi w:val="0"/>
        <w:spacing w:before="240" w:after="0"/>
        <w:jc w:val="left"/>
        <w:rPr/>
      </w:pPr>
      <w:r>
        <w:rPr/>
        <w:t>“</w:t>
      </w:r>
      <w:r>
        <w:rPr>
          <w:rFonts w:ascii="Times New Roman" w:hAnsi="Times New Roman"/>
          <w:b/>
          <w:sz w:val="20"/>
        </w:rPr>
        <w:t>Observation Period</w:t>
      </w:r>
      <w:r>
        <w:rPr>
          <w:rFonts w:ascii="Times New Roman" w:hAnsi="Times New Roman"/>
          <w:sz w:val="20"/>
        </w:rPr>
        <w:t xml:space="preserve">” means, with respect to any Note to be Exchanged, (A) subject to </w:t>
      </w:r>
      <w:r>
        <w:rPr>
          <w:rFonts w:ascii="Times New Roman" w:hAnsi="Times New Roman"/>
          <w:b/>
          <w:sz w:val="20"/>
        </w:rPr>
        <w:t>clause (B)</w:t>
      </w:r>
      <w:r>
        <w:rPr>
          <w:rFonts w:ascii="Times New Roman" w:hAnsi="Times New Roman"/>
          <w:sz w:val="20"/>
        </w:rPr>
        <w:t xml:space="preserve"> below, if the Exchange Date for such Note occurs on or before May 15, 2031, the forty (40) consecutive VWAP Trading Days beginning on, and including, the second (2nd) VWAP Trading Day immediately after such Exchange Date; and (B) if such Exchange Date occurs on or after the date the Company has sent a Redemption Notice calling all or any Notes for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and on or before the second (2nd) Business Day before the related Redemption Date, the forty (40) consecutive VWAP Trading Days beginning on, and including, the forty-first (41st) Scheduled Trading Day immediately before such Redemption Date; and (C) subject to </w:t>
      </w:r>
      <w:r>
        <w:rPr>
          <w:rFonts w:ascii="Times New Roman" w:hAnsi="Times New Roman"/>
          <w:b/>
          <w:sz w:val="20"/>
        </w:rPr>
        <w:t>clause (B)</w:t>
      </w:r>
      <w:r>
        <w:rPr>
          <w:rFonts w:ascii="Times New Roman" w:hAnsi="Times New Roman"/>
          <w:sz w:val="20"/>
        </w:rPr>
        <w:t xml:space="preserve"> above, if such Exchange Date occurs after May 15, 2031, the forty (40) consecutive VWAP Trading Days beginning on, and including, the forty-first (41st) Scheduled Trading Day immediately before the Maturity Date.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the President, Chief Executive Officer, Chief Financial Officer, Chief Legal Officer, any Executive Vice President, any Senior Vice President, the Treasurer, the Secretary or general partner of the Company or the Parent Guarantor, as applicable.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that is signed on behalf of the Company or the Parent Guarantor by one (1) of its Officers and that meets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Open of Business</w:t>
      </w:r>
      <w:r>
        <w:rPr>
          <w:rFonts w:ascii="Times New Roman" w:hAnsi="Times New Roman"/>
          <w:sz w:val="20"/>
        </w:rPr>
        <w:t xml:space="preserve">” means 9:00 a.m., New York City time.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from legal counsel (including an employee of, or counsel to, the Company or any of its Subsidiaries) reasonably acceptable to the Trustee, that meets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subject to customary qualifications and exclusions. </w:t>
      </w:r>
    </w:p>
    <w:p>
      <w:pPr>
        <w:pStyle w:val="TextBody"/>
        <w:bidi w:val="0"/>
        <w:spacing w:before="240" w:after="0"/>
        <w:jc w:val="left"/>
        <w:rPr/>
      </w:pPr>
      <w:r>
        <w:rPr/>
        <w:t>“</w:t>
      </w:r>
      <w:r>
        <w:rPr>
          <w:rFonts w:ascii="Times New Roman" w:hAnsi="Times New Roman"/>
          <w:b/>
          <w:sz w:val="20"/>
        </w:rPr>
        <w:t>Parent Guarantor</w:t>
      </w:r>
      <w:r>
        <w:rPr>
          <w:rFonts w:ascii="Times New Roman" w:hAnsi="Times New Roman"/>
          <w:sz w:val="20"/>
        </w:rPr>
        <w:t xml:space="preserve">” means the Person named as such in the first paragraph of this Indenture and, subject to Section 9.04, the successors and assigns of such Person. </w:t>
      </w:r>
    </w:p>
    <w:p>
      <w:pPr>
        <w:pStyle w:val="TextBody"/>
        <w:bidi w:val="0"/>
        <w:spacing w:before="240" w:after="0"/>
        <w:jc w:val="left"/>
        <w:rPr/>
      </w:pPr>
      <w:r>
        <w:rPr/>
        <w:t>“</w:t>
      </w:r>
      <w:r>
        <w:rPr>
          <w:rFonts w:ascii="Times New Roman" w:hAnsi="Times New Roman"/>
          <w:b/>
          <w:sz w:val="20"/>
        </w:rPr>
        <w:t>Parent Guarantor Charter</w:t>
      </w:r>
      <w:r>
        <w:rPr>
          <w:rFonts w:ascii="Times New Roman" w:hAnsi="Times New Roman"/>
          <w:sz w:val="20"/>
        </w:rPr>
        <w:t xml:space="preserve">” means the Articles of Amendment and Restatement of the Parent Guarantor, as amended, corrected and supplemented, and as the same may be further amended, corrected, restated or supplemented from time to times.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 </w:t>
      </w:r>
    </w:p>
    <w:p>
      <w:pPr>
        <w:pStyle w:val="TextBody"/>
        <w:bidi w:val="0"/>
        <w:spacing w:before="240" w:after="0"/>
        <w:jc w:val="left"/>
        <w:rPr/>
      </w:pPr>
      <w:r>
        <w:rPr/>
        <w:t>“</w:t>
      </w:r>
      <w:r>
        <w:rPr>
          <w:rFonts w:ascii="Times New Roman" w:hAnsi="Times New Roman"/>
          <w:b/>
          <w:sz w:val="20"/>
        </w:rPr>
        <w:t>Physical Note</w:t>
      </w:r>
      <w:r>
        <w:rPr>
          <w:rFonts w:ascii="Times New Roman" w:hAnsi="Times New Roman"/>
          <w:sz w:val="20"/>
        </w:rPr>
        <w:t xml:space="preserve">” means a Note (other than a Global Note) that is represented by a certificate substantially in the form set forth in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registered in the name of the Holder of such Note and duly executed by the Company and authenticated by the Trustee.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Purchase Agreement, dated August 6, 2026, among the Company, the Parent Guarantor and the representatives of the Initial Purchasers. </w:t>
      </w:r>
    </w:p>
    <w:p>
      <w:pPr>
        <w:pStyle w:val="TextBody"/>
        <w:bidi w:val="0"/>
        <w:spacing w:before="240" w:after="0"/>
        <w:jc w:val="left"/>
        <w:rPr/>
      </w:pPr>
      <w:r>
        <w:rPr/>
        <w:t>“</w:t>
      </w:r>
      <w:r>
        <w:rPr>
          <w:rFonts w:ascii="Times New Roman" w:hAnsi="Times New Roman"/>
          <w:b/>
          <w:sz w:val="20"/>
        </w:rPr>
        <w:t>Qualified Successor Entity</w:t>
      </w:r>
      <w:r>
        <w:rPr>
          <w:rFonts w:ascii="Times New Roman" w:hAnsi="Times New Roman"/>
          <w:sz w:val="20"/>
        </w:rPr>
        <w:t xml:space="preserve">” means, with respect to a Parent Guarantor Business Combination Event, a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limited liability company, limited partnership or other similar entity will also constitute a Qualified Successor Entity with respect to such Parent Guarantor Business Combination Event if either (A) such Parent Guarantor Business Combination Event is an Exempted Fundamental Change; or (B) such Parent Guarantor Business Combination Event constitutes a Common Stock Change Event whose Reference Property consists solely of any combination of cash in U.S. dollars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a direct or indirect parent of such limited liability company, limited partnership or other similar entity,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Recourse</w:t>
      </w:r>
      <w:r>
        <w:rPr>
          <w:rFonts w:ascii="Times New Roman" w:hAnsi="Times New Roman"/>
          <w:sz w:val="20"/>
        </w:rPr>
        <w:t xml:space="preserve">” means, with reference to any indebtedness for money borrowed, the portion of such indebtedness, if any, that is not Without Recourse to the obligor thereunder, directly or indirectly. For purposes of the immediately preceding sentence, a Person shall not be deemed to be “indirectly” liable for indebtedness of an obligor solely by reason of the fact that such Person has an ownership interest in such obligor, provided that such Person is not otherwise legally liable, directly or indirectly, for such obligor’s indebtedness (e.g., by reason of a guaranty or contribution obligation, by operation of law or by reason of such Person being a general partner of such obligor). </w:t>
      </w:r>
    </w:p>
    <w:p>
      <w:pPr>
        <w:pStyle w:val="TextBody"/>
        <w:bidi w:val="0"/>
        <w:spacing w:before="240" w:after="0"/>
        <w:jc w:val="left"/>
        <w:rPr/>
      </w:pPr>
      <w:r>
        <w:rPr/>
        <w:t>“</w:t>
      </w:r>
      <w:r>
        <w:rPr>
          <w:rFonts w:ascii="Times New Roman" w:hAnsi="Times New Roman"/>
          <w:b/>
          <w:sz w:val="20"/>
        </w:rPr>
        <w:t>Redemption</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means the date fixed,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4.03(D)</w:t>
      </w:r>
      <w:r>
        <w:rPr>
          <w:rFonts w:ascii="Times New Roman" w:hAnsi="Times New Roman"/>
          <w:sz w:val="20"/>
        </w:rPr>
        <w:t xml:space="preserve">, for the settlement of the repurchase of any Notes by the Company pursuant to a Redemption. </w:t>
      </w:r>
    </w:p>
    <w:p>
      <w:pPr>
        <w:pStyle w:val="TextBody"/>
        <w:bidi w:val="0"/>
        <w:spacing w:before="240" w:after="0"/>
        <w:jc w:val="left"/>
        <w:rPr/>
      </w:pPr>
      <w:r>
        <w:rPr/>
        <w:t>“</w:t>
      </w:r>
      <w:r>
        <w:rPr>
          <w:rFonts w:ascii="Times New Roman" w:hAnsi="Times New Roman"/>
          <w:b/>
          <w:sz w:val="20"/>
        </w:rPr>
        <w:t>Redemption Notice Date</w:t>
      </w:r>
      <w:r>
        <w:rPr>
          <w:rFonts w:ascii="Times New Roman" w:hAnsi="Times New Roman"/>
          <w:sz w:val="20"/>
        </w:rPr>
        <w:t xml:space="preserve">” means, with respect to a Redemption, the date on which the Company sends the Redemption Notice for such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means the cash price payable by the Company to redeem any Note upon its Redemption, calculated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Registration Default Event</w:t>
      </w:r>
      <w:r>
        <w:rPr>
          <w:rFonts w:ascii="Times New Roman" w:hAnsi="Times New Roman"/>
          <w:sz w:val="20"/>
        </w:rPr>
        <w:t xml:space="preserve">” has the meaning set forth in the applicable Registration Rights Agreement (subject to any limitations set forth in such Registration Rights Agreement regarding the application of such definition for purposes of this Indenture). For the avoidance of doubt, no Registration Default Event will be deemed to occur with respect to any Notes issued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and with respect to which no Registration Rights Agreement has been executed and delivered.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means (A) with respect to any Notes issued pursuant to the Purchase Agreement (including any Notes issued pursuant to the exercise of the Shoe Option by the Initial Purchasers), and any Notes issued in exchange therefore or in substitution thereof, that certain Registration Rights Agreement, dated as of August 11, 2026, among the Company, the Parent Guarantor and the representatives of the Initial Purchasers relating to the Notes, as the same may be amended or supplemented from time to time; and (B) with respect to any Notes issued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and any Notes issued in exchange therefor or in substitution thereof, the registration rights agreement, if any, executed and delivered by the Company relating to such Notes.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has the following meaning with respect to an Interest Payment Date: (A) if such Interest Payment Date occurs on February 15, the immediately preceding February 1; and (B) if such Interest Payment Date occurs on August 15, the immediately preceding August 1. </w:t>
      </w:r>
    </w:p>
    <w:p>
      <w:pPr>
        <w:pStyle w:val="TextBody"/>
        <w:bidi w:val="0"/>
        <w:spacing w:before="240" w:after="0"/>
        <w:jc w:val="left"/>
        <w:rPr/>
      </w:pPr>
      <w:r>
        <w:rPr/>
        <w:t>“</w:t>
      </w:r>
      <w:r>
        <w:rPr>
          <w:rFonts w:ascii="Times New Roman" w:hAnsi="Times New Roman"/>
          <w:b/>
          <w:sz w:val="20"/>
        </w:rPr>
        <w:t>Repurchase Upon Fundamental Change</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Resale Registration Statement</w:t>
      </w:r>
      <w:r>
        <w:rPr>
          <w:rFonts w:ascii="Times New Roman" w:hAnsi="Times New Roman"/>
          <w:sz w:val="20"/>
        </w:rPr>
        <w:t xml:space="preserve">” has the meaning set forth in the applicable Registration Rights Agreement.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 </w:t>
      </w:r>
    </w:p>
    <w:p>
      <w:pPr>
        <w:pStyle w:val="TextBody"/>
        <w:bidi w:val="0"/>
        <w:spacing w:before="240" w:after="0"/>
        <w:jc w:val="left"/>
        <w:rPr/>
      </w:pPr>
      <w:r>
        <w:rPr/>
        <w:t>“</w:t>
      </w:r>
      <w:r>
        <w:rPr>
          <w:rFonts w:ascii="Times New Roman" w:hAnsi="Times New Roman"/>
          <w:b/>
          <w:sz w:val="20"/>
        </w:rPr>
        <w:t>Restricted Note Legend</w:t>
      </w:r>
      <w:r>
        <w:rPr>
          <w:rFonts w:ascii="Times New Roman" w:hAnsi="Times New Roman"/>
          <w:sz w:val="20"/>
        </w:rPr>
        <w:t xml:space="preserve">” means a legend substantially in the form set forth in </w:t>
      </w:r>
      <w:r>
        <w:rPr>
          <w:rFonts w:ascii="Times New Roman" w:hAnsi="Times New Roman"/>
          <w:b/>
          <w:sz w:val="20"/>
        </w:rPr>
        <w:t>Exhibit 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Stock Legend</w:t>
      </w:r>
      <w:r>
        <w:rPr>
          <w:rFonts w:ascii="Times New Roman" w:hAnsi="Times New Roman"/>
          <w:sz w:val="20"/>
        </w:rPr>
        <w:t xml:space="preserve">” means, with respect to any Exchange Share, a legend substantially to the effect that the offer and sale of such Exchange Share have not been registered under the Securities Act and that such Exchange Share cannot be sold or otherwise transferred except pursuant to a transaction that is registered under the Securities Act or that is exempt from, or not subject to,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Rule 144</w:t>
      </w:r>
      <w:r>
        <w:rPr>
          <w:rFonts w:ascii="Times New Roman" w:hAnsi="Times New Roman"/>
          <w:sz w:val="20"/>
        </w:rPr>
        <w:t xml:space="preserve">” means Rule 144 under the Securities Act (or any successor rule thereto), as the same may be amended from time to time. </w:t>
      </w:r>
    </w:p>
    <w:p>
      <w:pPr>
        <w:pStyle w:val="TextBody"/>
        <w:bidi w:val="0"/>
        <w:spacing w:before="240" w:after="0"/>
        <w:jc w:val="left"/>
        <w:rPr/>
      </w:pPr>
      <w:r>
        <w:rPr/>
        <w:t>“</w:t>
      </w:r>
      <w:r>
        <w:rPr>
          <w:rFonts w:ascii="Times New Roman" w:hAnsi="Times New Roman"/>
          <w:b/>
          <w:sz w:val="20"/>
        </w:rPr>
        <w:t>Rule 144A</w:t>
      </w:r>
      <w:r>
        <w:rPr>
          <w:rFonts w:ascii="Times New Roman" w:hAnsi="Times New Roman"/>
          <w:sz w:val="20"/>
        </w:rPr>
        <w:t xml:space="preserve">” means Rule 144A under the Securities Act (or any successor rule thereto), as the same may be amended from time to time. </w:t>
      </w:r>
    </w:p>
    <w:p>
      <w:pPr>
        <w:pStyle w:val="TextBody"/>
        <w:bidi w:val="0"/>
        <w:spacing w:before="240" w:after="0"/>
        <w:jc w:val="left"/>
        <w:rPr/>
      </w:pPr>
      <w:r>
        <w:rPr/>
        <w:t>“</w:t>
      </w:r>
      <w:r>
        <w:rPr>
          <w:rFonts w:ascii="Times New Roman" w:hAnsi="Times New Roman"/>
          <w:b/>
          <w:sz w:val="20"/>
        </w:rPr>
        <w:t>Rule 501</w:t>
      </w:r>
      <w:r>
        <w:rPr>
          <w:rFonts w:ascii="Times New Roman" w:hAnsi="Times New Roman"/>
          <w:sz w:val="20"/>
        </w:rPr>
        <w:t xml:space="preserve">” means Rule 501 of Regulation D under the Securities Act (or any successor rule thereto), as the same may be amended from time to time. </w:t>
      </w:r>
    </w:p>
    <w:p>
      <w:pPr>
        <w:pStyle w:val="TextBody"/>
        <w:bidi w:val="0"/>
        <w:spacing w:before="240" w:after="0"/>
        <w:jc w:val="left"/>
        <w:rPr/>
      </w:pPr>
      <w:r>
        <w:rPr/>
        <w:t>“</w:t>
      </w:r>
      <w:r>
        <w:rPr>
          <w:rFonts w:ascii="Times New Roman" w:hAnsi="Times New Roman"/>
          <w:b/>
          <w:sz w:val="20"/>
        </w:rPr>
        <w:t>Scheduled Trading Day</w:t>
      </w:r>
      <w:r>
        <w:rPr>
          <w:rFonts w:ascii="Times New Roman" w:hAnsi="Times New Roman"/>
          <w:sz w:val="20"/>
        </w:rPr>
        <w:t xml:space="preserve">”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bidi w:val="0"/>
        <w:spacing w:before="240" w:after="0"/>
        <w:jc w:val="left"/>
        <w:rPr/>
      </w:pPr>
      <w:r>
        <w:rPr/>
        <w:t>“</w:t>
      </w:r>
      <w:r>
        <w:rPr>
          <w:rFonts w:ascii="Times New Roman" w:hAnsi="Times New Roman"/>
          <w:b/>
          <w:sz w:val="20"/>
        </w:rPr>
        <w:t>Security</w:t>
      </w:r>
      <w:r>
        <w:rPr>
          <w:rFonts w:ascii="Times New Roman" w:hAnsi="Times New Roman"/>
          <w:sz w:val="20"/>
        </w:rPr>
        <w:t xml:space="preserve">” means any Note or Exchange Share. </w:t>
      </w:r>
    </w:p>
    <w:p>
      <w:pPr>
        <w:pStyle w:val="TextBody"/>
        <w:bidi w:val="0"/>
        <w:spacing w:before="240" w:after="0"/>
        <w:jc w:val="left"/>
        <w:rPr/>
      </w:pPr>
      <w:r>
        <w:rPr/>
        <w:t>“</w:t>
      </w:r>
      <w:r>
        <w:rPr>
          <w:rFonts w:ascii="Times New Roman" w:hAnsi="Times New Roman"/>
          <w:b/>
          <w:sz w:val="20"/>
        </w:rPr>
        <w:t>Settlement Method</w:t>
      </w:r>
      <w:r>
        <w:rPr>
          <w:rFonts w:ascii="Times New Roman" w:hAnsi="Times New Roman"/>
          <w:sz w:val="20"/>
        </w:rPr>
        <w:t xml:space="preserve">” means Cash Settlement or Combination Settlement. </w:t>
      </w:r>
    </w:p>
    <w:p>
      <w:pPr>
        <w:pStyle w:val="TextBody"/>
        <w:bidi w:val="0"/>
        <w:spacing w:before="240" w:after="0"/>
        <w:jc w:val="left"/>
        <w:rPr/>
      </w:pPr>
      <w:r>
        <w:rPr/>
        <w:t>“</w:t>
      </w:r>
      <w:r>
        <w:rPr>
          <w:rFonts w:ascii="Times New Roman" w:hAnsi="Times New Roman"/>
          <w:b/>
          <w:sz w:val="20"/>
        </w:rPr>
        <w:t>Shoe Option</w:t>
      </w:r>
      <w:r>
        <w:rPr>
          <w:rFonts w:ascii="Times New Roman" w:hAnsi="Times New Roman"/>
          <w:sz w:val="20"/>
        </w:rPr>
        <w:t xml:space="preserve">” means the Initial Purchasers’ option to purchase up to one hundred million dollars ($100,000,000) aggregate principal amount of additional Notes as provided for in the Purchase Agreement.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with respect to any Person, any Subsidiary of such Person that constitutes a “significant subsidiary” (as defined in Rule 1-02(w) of Regulation S-X under the Exchange Act) of such Person; provided, however,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one hundred fifty million dollars ($150,000,000). </w:t>
      </w:r>
    </w:p>
    <w:p>
      <w:pPr>
        <w:pStyle w:val="TextBody"/>
        <w:bidi w:val="0"/>
        <w:spacing w:before="240" w:after="0"/>
        <w:jc w:val="left"/>
        <w:rPr/>
      </w:pPr>
      <w:r>
        <w:rPr/>
        <w:t>“</w:t>
      </w:r>
      <w:r>
        <w:rPr>
          <w:rFonts w:ascii="Times New Roman" w:hAnsi="Times New Roman"/>
          <w:b/>
          <w:sz w:val="20"/>
        </w:rPr>
        <w:t>Special Interest</w:t>
      </w:r>
      <w:r>
        <w:rPr>
          <w:rFonts w:ascii="Times New Roman" w:hAnsi="Times New Roman"/>
          <w:sz w:val="20"/>
        </w:rPr>
        <w:t xml:space="preserve">” means any interest that accrues on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Stock Price</w:t>
      </w:r>
      <w:r>
        <w:rPr>
          <w:rFonts w:ascii="Times New Roman" w:hAnsi="Times New Roman"/>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hAnsi="Times New Roman"/>
          <w:b/>
          <w:sz w:val="20"/>
        </w:rPr>
        <w:t>clause (B)</w:t>
      </w:r>
      <w:r>
        <w:rPr>
          <w:rFonts w:ascii="Times New Roman" w:hAnsi="Times New Roman"/>
          <w:sz w:val="20"/>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Trading Day</w:t>
      </w:r>
      <w:r>
        <w:rPr>
          <w:rFonts w:ascii="Times New Roman" w:hAnsi="Times New Roman"/>
          <w:sz w:val="20"/>
        </w:rPr>
        <w:t xml:space="preserve">”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 </w:t>
      </w:r>
    </w:p>
    <w:p>
      <w:pPr>
        <w:pStyle w:val="TextBody"/>
        <w:bidi w:val="0"/>
        <w:spacing w:before="240" w:after="0"/>
        <w:jc w:val="left"/>
        <w:rPr/>
      </w:pPr>
      <w:r>
        <w:rPr/>
        <w:t>“</w:t>
      </w:r>
      <w:r>
        <w:rPr>
          <w:rFonts w:ascii="Times New Roman" w:hAnsi="Times New Roman"/>
          <w:b/>
          <w:sz w:val="20"/>
        </w:rPr>
        <w:t>Trading Price</w:t>
      </w:r>
      <w:r>
        <w:rPr>
          <w:rFonts w:ascii="Times New Roman" w:hAnsi="Times New Roman"/>
          <w:sz w:val="20"/>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Exchange Rate on such Trading Day. </w:t>
      </w:r>
    </w:p>
    <w:p>
      <w:pPr>
        <w:pStyle w:val="TextBody"/>
        <w:bidi w:val="0"/>
        <w:spacing w:before="240" w:after="0"/>
        <w:jc w:val="left"/>
        <w:rPr/>
      </w:pPr>
      <w:r>
        <w:rPr/>
        <w:t>“</w:t>
      </w:r>
      <w:r>
        <w:rPr>
          <w:rFonts w:ascii="Times New Roman" w:hAnsi="Times New Roman"/>
          <w:b/>
          <w:sz w:val="20"/>
        </w:rPr>
        <w:t>Transfer-Restricted Security</w:t>
      </w:r>
      <w:r>
        <w:rPr>
          <w:rFonts w:ascii="Times New Roman" w:hAnsi="Times New Roman"/>
          <w:sz w:val="20"/>
        </w:rPr>
        <w:t xml:space="preserve">” means any Security that constitutes a “restricted security” (as defined in Rule 144);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Security will cease to be a Transfer-Restricted Security upon the earliest to occur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such Security is sold or otherwise transferred to a Person (other than the Company or an Affiliate of the Company) pursuant to a registration statement that was effective under the Securities Act at the time of such sale or transfer; </w:t>
      </w:r>
    </w:p>
    <w:p>
      <w:pPr>
        <w:pStyle w:val="TextBody"/>
        <w:bidi w:val="0"/>
        <w:spacing w:before="240" w:after="0"/>
        <w:jc w:val="left"/>
        <w:rPr>
          <w:rFonts w:ascii="Times New Roman" w:hAnsi="Times New Roman"/>
          <w:sz w:val="20"/>
        </w:rPr>
      </w:pPr>
      <w:r>
        <w:rPr>
          <w:rFonts w:ascii="Times New Roman" w:hAnsi="Times New Roman"/>
          <w:sz w:val="20"/>
        </w:rPr>
        <w:t xml:space="preserve">(B) 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 </w:t>
      </w:r>
    </w:p>
    <w:p>
      <w:pPr>
        <w:pStyle w:val="TextBody"/>
        <w:bidi w:val="0"/>
        <w:spacing w:before="240" w:after="0"/>
        <w:jc w:val="left"/>
        <w:rPr>
          <w:rFonts w:ascii="Times New Roman" w:hAnsi="Times New Roman"/>
          <w:sz w:val="20"/>
        </w:rPr>
      </w:pPr>
      <w:r>
        <w:rPr>
          <w:rFonts w:ascii="Times New Roman" w:hAnsi="Times New Roman"/>
          <w:sz w:val="20"/>
        </w:rPr>
        <w:t xml:space="preserve">(C) 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under no obligation to determine whether any Security is a Transfer-Restricted Security and may conclusively rely on an Officer’s Certificate with respect thereto.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U.S. Trust Indenture Act of 1939, as amended.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the Person named as such in the first paragraph of this Indenture until a successor replaces it in accordance with the provisions of this Indenture and, thereafter, means such successor. </w:t>
      </w:r>
    </w:p>
    <w:p>
      <w:pPr>
        <w:pStyle w:val="TextBody"/>
        <w:bidi w:val="0"/>
        <w:spacing w:before="240" w:after="0"/>
        <w:jc w:val="left"/>
        <w:rPr/>
      </w:pPr>
      <w:r>
        <w:rPr/>
        <w:t>“</w:t>
      </w:r>
      <w:r>
        <w:rPr>
          <w:rFonts w:ascii="Times New Roman" w:hAnsi="Times New Roman"/>
          <w:b/>
          <w:sz w:val="20"/>
        </w:rPr>
        <w:t>Underlying Security</w:t>
      </w:r>
      <w:r>
        <w:rPr>
          <w:rFonts w:ascii="Times New Roman" w:hAnsi="Times New Roman"/>
          <w:sz w:val="20"/>
        </w:rPr>
        <w:t xml:space="preserve">” initially means the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the occurrence of any Common Stock Change Event, the Underlying Security will be deemed to consists of the securities, if any, included in the Reference Property of such Common Stock Change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VWAP Market Disruption Event</w:t>
      </w:r>
      <w:r>
        <w:rPr>
          <w:rFonts w:ascii="Times New Roman" w:hAnsi="Times New Roman"/>
          <w:sz w:val="20"/>
        </w:rPr>
        <w:t xml:space="preserve">”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 </w:t>
      </w:r>
    </w:p>
    <w:p>
      <w:pPr>
        <w:pStyle w:val="TextBody"/>
        <w:bidi w:val="0"/>
        <w:spacing w:before="240" w:after="0"/>
        <w:jc w:val="left"/>
        <w:rPr/>
      </w:pPr>
      <w:r>
        <w:rPr/>
        <w:t>“</w:t>
      </w:r>
      <w:r>
        <w:rPr>
          <w:rFonts w:ascii="Times New Roman" w:hAnsi="Times New Roman"/>
          <w:b/>
          <w:sz w:val="20"/>
        </w:rPr>
        <w:t>VWAP Trading Day</w:t>
      </w:r>
      <w:r>
        <w:rPr>
          <w:rFonts w:ascii="Times New Roman" w:hAnsi="Times New Roman"/>
          <w:sz w:val="20"/>
        </w:rPr>
        <w:t xml:space="preserve">”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of a Person means any Subsidiary of such Person all of the outstanding Capital Stock or other ownership interests of which (other than directors’ qualifying shares) are owned by such Person or one or more Wholly Owned Subsidiaries of such Person. </w:t>
      </w:r>
    </w:p>
    <w:p>
      <w:pPr>
        <w:pStyle w:val="TextBody"/>
        <w:bidi w:val="0"/>
        <w:spacing w:before="240" w:after="0"/>
        <w:jc w:val="left"/>
        <w:rPr/>
      </w:pPr>
      <w:r>
        <w:rPr/>
        <w:t>“</w:t>
      </w:r>
      <w:r>
        <w:rPr>
          <w:rFonts w:ascii="Times New Roman" w:hAnsi="Times New Roman"/>
          <w:b/>
          <w:sz w:val="20"/>
        </w:rPr>
        <w:t>Without Recourse</w:t>
      </w:r>
      <w:r>
        <w:rPr>
          <w:rFonts w:ascii="Times New Roman" w:hAnsi="Times New Roman"/>
          <w:sz w:val="20"/>
        </w:rPr>
        <w:t xml:space="preserve">” means, with reference to any indebtedness for money borrowed, any portion of such indebtedness for which the obligor thereunder is not liable or obligated other than as to such obligor’s interest in an asset specifically identified or designated with respect to such indebtedness, subject to such limited exceptions to the non-recourse nature of such indebtedness, such as, but not limited to, fraud, misappropriation, misapplication and environmental indemnities, as are usual and customary in like transactions involving institutional lenders at the time of the incurrence of such indebtedness.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1.02 OTHER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84"/>
        <w:gridCol w:w="121"/>
        <w:gridCol w:w="2200"/>
      </w:tblGrid>
      <w:tr>
        <w:trPr/>
        <w:tc>
          <w:tcPr>
            <w:tcW w:w="788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7884" w:type="dxa"/>
            <w:tcBorders/>
            <w:vAlign w:val="bottom"/>
          </w:tcPr>
          <w:p>
            <w:pPr>
              <w:pStyle w:val="TableContents"/>
              <w:bidi w:val="0"/>
              <w:spacing w:before="0" w:after="283"/>
              <w:jc w:val="left"/>
              <w:rPr/>
            </w:pPr>
            <w:r>
              <w:rPr/>
              <w:t>Term</w:t>
            </w:r>
          </w:p>
        </w:tc>
        <w:tc>
          <w:tcPr>
            <w:tcW w:w="121" w:type="dxa"/>
            <w:tcBorders/>
            <w:vAlign w:val="bottom"/>
          </w:tcPr>
          <w:p>
            <w:pPr>
              <w:pStyle w:val="TableContents"/>
              <w:bidi w:val="0"/>
              <w:spacing w:before="0" w:after="283"/>
              <w:jc w:val="left"/>
              <w:rPr/>
            </w:pPr>
            <w:r>
              <w:rPr/>
              <w:t>  </w:t>
            </w:r>
          </w:p>
        </w:tc>
        <w:tc>
          <w:tcPr>
            <w:tcW w:w="22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Defined in Section</w:t>
            </w:r>
          </w:p>
        </w:tc>
      </w:tr>
      <w:tr>
        <w:trPr/>
        <w:tc>
          <w:tcPr>
            <w:tcW w:w="7884" w:type="dxa"/>
            <w:tcBorders/>
          </w:tcPr>
          <w:p>
            <w:pPr>
              <w:pStyle w:val="TableContents"/>
              <w:bidi w:val="0"/>
              <w:spacing w:before="0" w:after="283"/>
              <w:jc w:val="left"/>
              <w:rPr/>
            </w:pPr>
            <w:r>
              <w:rPr/>
              <w:t>“</w:t>
            </w:r>
            <w:r>
              <w:rPr>
                <w:b/>
              </w:rPr>
              <w:t>Additional Shares</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5.07(A)</w:t>
            </w:r>
          </w:p>
        </w:tc>
      </w:tr>
      <w:tr>
        <w:trPr/>
        <w:tc>
          <w:tcPr>
            <w:tcW w:w="7884" w:type="dxa"/>
            <w:tcBorders/>
          </w:tcPr>
          <w:p>
            <w:pPr>
              <w:pStyle w:val="TableContents"/>
              <w:bidi w:val="0"/>
              <w:spacing w:before="0" w:after="283"/>
              <w:jc w:val="left"/>
              <w:rPr/>
            </w:pPr>
            <w:r>
              <w:rPr/>
              <w:t>“</w:t>
            </w:r>
            <w:r>
              <w:rPr>
                <w:b/>
              </w:rPr>
              <w:t>Applicable Law</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12.17</w:t>
            </w:r>
          </w:p>
        </w:tc>
      </w:tr>
      <w:tr>
        <w:trPr/>
        <w:tc>
          <w:tcPr>
            <w:tcW w:w="7884" w:type="dxa"/>
            <w:tcBorders/>
          </w:tcPr>
          <w:p>
            <w:pPr>
              <w:pStyle w:val="TableContents"/>
              <w:bidi w:val="0"/>
              <w:spacing w:before="0" w:after="283"/>
              <w:jc w:val="left"/>
              <w:rPr/>
            </w:pPr>
            <w:r>
              <w:rPr/>
              <w:t>“</w:t>
            </w:r>
            <w:r>
              <w:rPr>
                <w:b/>
              </w:rPr>
              <w:t>Cash Percentage</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5.03(A)(i)(3)</w:t>
            </w:r>
          </w:p>
        </w:tc>
      </w:tr>
      <w:tr>
        <w:trPr/>
        <w:tc>
          <w:tcPr>
            <w:tcW w:w="7884" w:type="dxa"/>
            <w:tcBorders/>
          </w:tcPr>
          <w:p>
            <w:pPr>
              <w:pStyle w:val="TableContents"/>
              <w:bidi w:val="0"/>
              <w:spacing w:before="0" w:after="283"/>
              <w:jc w:val="left"/>
              <w:rPr/>
            </w:pPr>
            <w:r>
              <w:rPr/>
              <w:t>“</w:t>
            </w:r>
            <w:r>
              <w:rPr>
                <w:b/>
              </w:rPr>
              <w:t>Cash Percentage Election Deadline</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5.03(A)(i)(3)</w:t>
            </w:r>
          </w:p>
        </w:tc>
      </w:tr>
      <w:tr>
        <w:trPr/>
        <w:tc>
          <w:tcPr>
            <w:tcW w:w="7884" w:type="dxa"/>
            <w:tcBorders/>
          </w:tcPr>
          <w:p>
            <w:pPr>
              <w:pStyle w:val="TableContents"/>
              <w:bidi w:val="0"/>
              <w:spacing w:before="0" w:after="283"/>
              <w:jc w:val="left"/>
              <w:rPr/>
            </w:pPr>
            <w:r>
              <w:rPr/>
              <w:t>“</w:t>
            </w:r>
            <w:r>
              <w:rPr>
                <w:b/>
              </w:rPr>
              <w:t>Common Stock Change Event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5.09(A)</w:t>
            </w:r>
          </w:p>
        </w:tc>
      </w:tr>
      <w:tr>
        <w:trPr/>
        <w:tc>
          <w:tcPr>
            <w:tcW w:w="7884" w:type="dxa"/>
            <w:tcBorders/>
          </w:tcPr>
          <w:p>
            <w:pPr>
              <w:pStyle w:val="TableContents"/>
              <w:bidi w:val="0"/>
              <w:spacing w:before="0" w:after="283"/>
              <w:jc w:val="left"/>
              <w:rPr/>
            </w:pPr>
            <w:r>
              <w:rPr/>
              <w:t>“</w:t>
            </w:r>
            <w:r>
              <w:rPr>
                <w:b/>
              </w:rPr>
              <w:t>Company Business Combination Event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6.01(A)</w:t>
            </w:r>
          </w:p>
        </w:tc>
      </w:tr>
      <w:tr>
        <w:trPr/>
        <w:tc>
          <w:tcPr>
            <w:tcW w:w="7884" w:type="dxa"/>
            <w:tcBorders/>
          </w:tcPr>
          <w:p>
            <w:pPr>
              <w:pStyle w:val="TableContents"/>
              <w:bidi w:val="0"/>
              <w:spacing w:before="0" w:after="283"/>
              <w:jc w:val="left"/>
              <w:rPr/>
            </w:pPr>
            <w:r>
              <w:rPr/>
              <w:t>“</w:t>
            </w:r>
            <w:r>
              <w:rPr>
                <w:b/>
              </w:rPr>
              <w:t>Company Successor Entity</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6.01(A)(i)</w:t>
            </w:r>
          </w:p>
        </w:tc>
      </w:tr>
      <w:tr>
        <w:trPr/>
        <w:tc>
          <w:tcPr>
            <w:tcW w:w="7884" w:type="dxa"/>
            <w:tcBorders/>
          </w:tcPr>
          <w:p>
            <w:pPr>
              <w:pStyle w:val="TableContents"/>
              <w:bidi w:val="0"/>
              <w:spacing w:before="0" w:after="283"/>
              <w:jc w:val="left"/>
              <w:rPr/>
            </w:pPr>
            <w:r>
              <w:rPr/>
              <w:t>“</w:t>
            </w:r>
            <w:r>
              <w:rPr>
                <w:b/>
              </w:rPr>
              <w:t>Default Interest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2.05(B)</w:t>
            </w:r>
          </w:p>
        </w:tc>
      </w:tr>
      <w:tr>
        <w:trPr/>
        <w:tc>
          <w:tcPr>
            <w:tcW w:w="7884" w:type="dxa"/>
            <w:tcBorders/>
          </w:tcPr>
          <w:p>
            <w:pPr>
              <w:pStyle w:val="TableContents"/>
              <w:bidi w:val="0"/>
              <w:spacing w:before="0" w:after="283"/>
              <w:jc w:val="left"/>
              <w:rPr/>
            </w:pPr>
            <w:r>
              <w:rPr/>
              <w:t>“</w:t>
            </w:r>
            <w:r>
              <w:rPr>
                <w:b/>
              </w:rPr>
              <w:t>Defaulted Amount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2.05(B)</w:t>
            </w:r>
          </w:p>
        </w:tc>
      </w:tr>
      <w:tr>
        <w:trPr/>
        <w:tc>
          <w:tcPr>
            <w:tcW w:w="7884" w:type="dxa"/>
            <w:tcBorders/>
          </w:tcPr>
          <w:p>
            <w:pPr>
              <w:pStyle w:val="TableContents"/>
              <w:bidi w:val="0"/>
              <w:spacing w:before="0" w:after="283"/>
              <w:jc w:val="left"/>
              <w:rPr/>
            </w:pPr>
            <w:r>
              <w:rPr/>
              <w:t>“</w:t>
            </w:r>
            <w:r>
              <w:rPr>
                <w:b/>
              </w:rPr>
              <w:t>Dividend Threshold</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5.05(A)(iv)</w:t>
            </w:r>
          </w:p>
        </w:tc>
      </w:tr>
      <w:tr>
        <w:trPr/>
        <w:tc>
          <w:tcPr>
            <w:tcW w:w="7884" w:type="dxa"/>
            <w:tcBorders/>
          </w:tcPr>
          <w:p>
            <w:pPr>
              <w:pStyle w:val="TableContents"/>
              <w:bidi w:val="0"/>
              <w:spacing w:before="0" w:after="283"/>
              <w:jc w:val="left"/>
              <w:rPr/>
            </w:pPr>
            <w:r>
              <w:rPr/>
              <w:t>“</w:t>
            </w:r>
            <w:r>
              <w:rPr>
                <w:b/>
              </w:rPr>
              <w:t>Event of Default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7.01(A)</w:t>
            </w:r>
          </w:p>
        </w:tc>
      </w:tr>
      <w:tr>
        <w:trPr/>
        <w:tc>
          <w:tcPr>
            <w:tcW w:w="7884" w:type="dxa"/>
            <w:tcBorders/>
          </w:tcPr>
          <w:p>
            <w:pPr>
              <w:pStyle w:val="TableContents"/>
              <w:bidi w:val="0"/>
              <w:spacing w:before="0" w:after="283"/>
              <w:jc w:val="left"/>
              <w:rPr/>
            </w:pPr>
            <w:r>
              <w:rPr/>
              <w:t>“</w:t>
            </w:r>
            <w:r>
              <w:rPr>
                <w:b/>
              </w:rPr>
              <w:t>Exchange Agent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2.06(A)</w:t>
            </w:r>
          </w:p>
        </w:tc>
      </w:tr>
      <w:tr>
        <w:trPr/>
        <w:tc>
          <w:tcPr>
            <w:tcW w:w="7884" w:type="dxa"/>
            <w:tcBorders/>
          </w:tcPr>
          <w:p>
            <w:pPr>
              <w:pStyle w:val="TableContents"/>
              <w:bidi w:val="0"/>
              <w:spacing w:before="0" w:after="283"/>
              <w:jc w:val="left"/>
              <w:rPr/>
            </w:pPr>
            <w:r>
              <w:rPr/>
              <w:t>“</w:t>
            </w:r>
            <w:r>
              <w:rPr>
                <w:b/>
              </w:rPr>
              <w:t>Exchange Consideration</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5.03(B)(i)</w:t>
            </w:r>
          </w:p>
        </w:tc>
      </w:tr>
      <w:tr>
        <w:trPr/>
        <w:tc>
          <w:tcPr>
            <w:tcW w:w="7884" w:type="dxa"/>
            <w:tcBorders/>
          </w:tcPr>
          <w:p>
            <w:pPr>
              <w:pStyle w:val="TableContents"/>
              <w:bidi w:val="0"/>
              <w:spacing w:before="0" w:after="283"/>
              <w:jc w:val="left"/>
              <w:rPr/>
            </w:pPr>
            <w:r>
              <w:rPr/>
              <w:t>“</w:t>
            </w:r>
            <w:r>
              <w:rPr>
                <w:b/>
              </w:rPr>
              <w:t>Expiration Date</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5.05(A)(v)</w:t>
            </w:r>
          </w:p>
        </w:tc>
      </w:tr>
      <w:tr>
        <w:trPr/>
        <w:tc>
          <w:tcPr>
            <w:tcW w:w="7884" w:type="dxa"/>
            <w:tcBorders/>
          </w:tcPr>
          <w:p>
            <w:pPr>
              <w:pStyle w:val="TableContents"/>
              <w:bidi w:val="0"/>
              <w:spacing w:before="0" w:after="283"/>
              <w:jc w:val="left"/>
              <w:rPr/>
            </w:pPr>
            <w:r>
              <w:rPr/>
              <w:t>“</w:t>
            </w:r>
            <w:r>
              <w:rPr>
                <w:b/>
              </w:rPr>
              <w:t>Expiration Time</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5.05(A)(v)</w:t>
            </w:r>
          </w:p>
        </w:tc>
      </w:tr>
      <w:tr>
        <w:trPr/>
        <w:tc>
          <w:tcPr>
            <w:tcW w:w="7884" w:type="dxa"/>
            <w:tcBorders/>
          </w:tcPr>
          <w:p>
            <w:pPr>
              <w:pStyle w:val="TableContents"/>
              <w:bidi w:val="0"/>
              <w:spacing w:before="0" w:after="283"/>
              <w:jc w:val="left"/>
              <w:rPr/>
            </w:pPr>
            <w:r>
              <w:rPr/>
              <w:t>“</w:t>
            </w:r>
            <w:r>
              <w:rPr>
                <w:b/>
              </w:rPr>
              <w:t>Fundamental Change Notice</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4.02(E)</w:t>
            </w:r>
          </w:p>
        </w:tc>
      </w:tr>
      <w:tr>
        <w:trPr/>
        <w:tc>
          <w:tcPr>
            <w:tcW w:w="7884" w:type="dxa"/>
            <w:tcBorders/>
          </w:tcPr>
          <w:p>
            <w:pPr>
              <w:pStyle w:val="TableContents"/>
              <w:bidi w:val="0"/>
              <w:spacing w:before="0" w:after="283"/>
              <w:jc w:val="left"/>
              <w:rPr/>
            </w:pPr>
            <w:r>
              <w:rPr/>
              <w:t>“</w:t>
            </w:r>
            <w:r>
              <w:rPr>
                <w:b/>
              </w:rPr>
              <w:t>Fundamental Change Repurchase Right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4.02(A)</w:t>
            </w:r>
          </w:p>
        </w:tc>
      </w:tr>
      <w:tr>
        <w:trPr/>
        <w:tc>
          <w:tcPr>
            <w:tcW w:w="7884" w:type="dxa"/>
            <w:tcBorders/>
          </w:tcPr>
          <w:p>
            <w:pPr>
              <w:pStyle w:val="TableContents"/>
              <w:bidi w:val="0"/>
              <w:spacing w:before="0" w:after="283"/>
              <w:jc w:val="left"/>
              <w:rPr/>
            </w:pPr>
            <w:r>
              <w:rPr/>
              <w:t>“</w:t>
            </w:r>
            <w:r>
              <w:rPr>
                <w:b/>
              </w:rPr>
              <w:t>Initial Notes</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2.03(A)</w:t>
            </w:r>
          </w:p>
        </w:tc>
      </w:tr>
      <w:tr>
        <w:trPr/>
        <w:tc>
          <w:tcPr>
            <w:tcW w:w="7884" w:type="dxa"/>
            <w:tcBorders/>
          </w:tcPr>
          <w:p>
            <w:pPr>
              <w:pStyle w:val="TableContents"/>
              <w:bidi w:val="0"/>
              <w:spacing w:before="0" w:after="283"/>
              <w:jc w:val="left"/>
              <w:rPr/>
            </w:pPr>
            <w:r>
              <w:rPr/>
              <w:t>“</w:t>
            </w:r>
            <w:r>
              <w:rPr>
                <w:b/>
              </w:rPr>
              <w:t>Maturity Premium</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3.05(A)</w:t>
            </w:r>
          </w:p>
        </w:tc>
      </w:tr>
      <w:tr>
        <w:trPr/>
        <w:tc>
          <w:tcPr>
            <w:tcW w:w="7884" w:type="dxa"/>
            <w:tcBorders/>
          </w:tcPr>
          <w:p>
            <w:pPr>
              <w:pStyle w:val="TableContents"/>
              <w:bidi w:val="0"/>
              <w:spacing w:before="0" w:after="283"/>
              <w:jc w:val="left"/>
              <w:rPr/>
            </w:pPr>
            <w:r>
              <w:rPr/>
              <w:t>“</w:t>
            </w:r>
            <w:r>
              <w:rPr>
                <w:b/>
              </w:rPr>
              <w:t>Measurement Period</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5.01(C)(i)(2)</w:t>
            </w:r>
          </w:p>
        </w:tc>
      </w:tr>
      <w:tr>
        <w:trPr/>
        <w:tc>
          <w:tcPr>
            <w:tcW w:w="7884" w:type="dxa"/>
            <w:tcBorders/>
          </w:tcPr>
          <w:p>
            <w:pPr>
              <w:pStyle w:val="TableContents"/>
              <w:bidi w:val="0"/>
              <w:spacing w:before="0" w:after="283"/>
              <w:jc w:val="left"/>
              <w:rPr/>
            </w:pPr>
            <w:r>
              <w:rPr/>
              <w:t>“</w:t>
            </w:r>
            <w:r>
              <w:rPr>
                <w:b/>
              </w:rPr>
              <w:t>Parent Guarantor Business Combination Event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9.04(A)</w:t>
            </w:r>
          </w:p>
        </w:tc>
      </w:tr>
      <w:tr>
        <w:trPr/>
        <w:tc>
          <w:tcPr>
            <w:tcW w:w="7884" w:type="dxa"/>
            <w:tcBorders/>
          </w:tcPr>
          <w:p>
            <w:pPr>
              <w:pStyle w:val="TableContents"/>
              <w:bidi w:val="0"/>
              <w:spacing w:before="0" w:after="283"/>
              <w:jc w:val="left"/>
              <w:rPr/>
            </w:pPr>
            <w:r>
              <w:rPr/>
              <w:t>“</w:t>
            </w:r>
            <w:r>
              <w:rPr>
                <w:b/>
              </w:rPr>
              <w:t>Parent Guarantor Successor Entity</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9.04(A)(i)</w:t>
            </w:r>
          </w:p>
        </w:tc>
      </w:tr>
      <w:tr>
        <w:trPr/>
        <w:tc>
          <w:tcPr>
            <w:tcW w:w="7884" w:type="dxa"/>
            <w:tcBorders/>
          </w:tcPr>
          <w:p>
            <w:pPr>
              <w:pStyle w:val="TableContents"/>
              <w:bidi w:val="0"/>
              <w:spacing w:before="0" w:after="283"/>
              <w:jc w:val="left"/>
              <w:rPr/>
            </w:pPr>
            <w:r>
              <w:rPr/>
              <w:t>“</w:t>
            </w:r>
            <w:r>
              <w:rPr>
                <w:b/>
              </w:rPr>
              <w:t>Paying Agent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2.06(A)</w:t>
            </w:r>
          </w:p>
        </w:tc>
      </w:tr>
      <w:tr>
        <w:trPr/>
        <w:tc>
          <w:tcPr>
            <w:tcW w:w="7884" w:type="dxa"/>
            <w:tcBorders/>
          </w:tcPr>
          <w:p>
            <w:pPr>
              <w:pStyle w:val="TableContents"/>
              <w:bidi w:val="0"/>
              <w:spacing w:before="0" w:after="283"/>
              <w:jc w:val="left"/>
              <w:rPr/>
            </w:pPr>
            <w:r>
              <w:rPr/>
              <w:t>“</w:t>
            </w:r>
            <w:r>
              <w:rPr>
                <w:b/>
              </w:rPr>
              <w:t>Redemption Notice</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4.03(F)</w:t>
            </w:r>
          </w:p>
        </w:tc>
      </w:tr>
      <w:tr>
        <w:trPr/>
        <w:tc>
          <w:tcPr>
            <w:tcW w:w="7884" w:type="dxa"/>
            <w:tcBorders/>
          </w:tcPr>
          <w:p>
            <w:pPr>
              <w:pStyle w:val="TableContents"/>
              <w:bidi w:val="0"/>
              <w:spacing w:before="0" w:after="283"/>
              <w:jc w:val="left"/>
              <w:rPr/>
            </w:pPr>
            <w:r>
              <w:rPr/>
              <w:t>“</w:t>
            </w:r>
            <w:r>
              <w:rPr>
                <w:b/>
              </w:rPr>
              <w:t>Reference Property</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5.09(A)</w:t>
            </w:r>
          </w:p>
        </w:tc>
      </w:tr>
      <w:tr>
        <w:trPr/>
        <w:tc>
          <w:tcPr>
            <w:tcW w:w="7884" w:type="dxa"/>
            <w:tcBorders/>
          </w:tcPr>
          <w:p>
            <w:pPr>
              <w:pStyle w:val="TableContents"/>
              <w:bidi w:val="0"/>
              <w:spacing w:before="0" w:after="283"/>
              <w:jc w:val="left"/>
              <w:rPr/>
            </w:pPr>
            <w:r>
              <w:rPr/>
              <w:t>“</w:t>
            </w:r>
            <w:r>
              <w:rPr>
                <w:b/>
              </w:rPr>
              <w:t>Reference Property Unit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5.09(A)</w:t>
            </w:r>
          </w:p>
        </w:tc>
      </w:tr>
      <w:tr>
        <w:trPr/>
        <w:tc>
          <w:tcPr>
            <w:tcW w:w="7884" w:type="dxa"/>
            <w:tcBorders/>
          </w:tcPr>
          <w:p>
            <w:pPr>
              <w:pStyle w:val="TableContents"/>
              <w:bidi w:val="0"/>
              <w:spacing w:before="0" w:after="283"/>
              <w:jc w:val="left"/>
              <w:rPr/>
            </w:pPr>
            <w:r>
              <w:rPr/>
              <w:t>“</w:t>
            </w:r>
            <w:r>
              <w:rPr>
                <w:b/>
              </w:rPr>
              <w:t>Register</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2.06(B)</w:t>
            </w:r>
          </w:p>
        </w:tc>
      </w:tr>
      <w:tr>
        <w:trPr/>
        <w:tc>
          <w:tcPr>
            <w:tcW w:w="7884" w:type="dxa"/>
            <w:tcBorders/>
          </w:tcPr>
          <w:p>
            <w:pPr>
              <w:pStyle w:val="TableContents"/>
              <w:bidi w:val="0"/>
              <w:spacing w:before="0" w:after="283"/>
              <w:jc w:val="left"/>
              <w:rPr/>
            </w:pPr>
            <w:r>
              <w:rPr/>
              <w:t>“</w:t>
            </w:r>
            <w:r>
              <w:rPr>
                <w:b/>
              </w:rPr>
              <w:t>Registrar</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2.06(A)</w:t>
            </w:r>
          </w:p>
        </w:tc>
      </w:tr>
      <w:tr>
        <w:trPr/>
        <w:tc>
          <w:tcPr>
            <w:tcW w:w="7884" w:type="dxa"/>
            <w:tcBorders/>
          </w:tcPr>
          <w:p>
            <w:pPr>
              <w:pStyle w:val="TableContents"/>
              <w:bidi w:val="0"/>
              <w:spacing w:before="0" w:after="283"/>
              <w:jc w:val="left"/>
              <w:rPr/>
            </w:pPr>
            <w:r>
              <w:rPr/>
              <w:t>“</w:t>
            </w:r>
            <w:r>
              <w:rPr>
                <w:b/>
              </w:rPr>
              <w:t>Reporting Event of Default</w:t>
            </w:r>
            <w:r>
              <w:rPr/>
              <w:t>”</w:t>
            </w:r>
          </w:p>
        </w:tc>
        <w:tc>
          <w:tcPr>
            <w:tcW w:w="121"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right"/>
              <w:rPr>
                <w:b/>
              </w:rPr>
            </w:pPr>
            <w:r>
              <w:rPr>
                <w:b/>
              </w:rPr>
              <w:t>7.03(A)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99"/>
        <w:gridCol w:w="121"/>
        <w:gridCol w:w="2185"/>
      </w:tblGrid>
      <w:tr>
        <w:trPr/>
        <w:tc>
          <w:tcPr>
            <w:tcW w:w="78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7899" w:type="dxa"/>
            <w:tcBorders/>
          </w:tcPr>
          <w:p>
            <w:pPr>
              <w:pStyle w:val="TableContents"/>
              <w:bidi w:val="0"/>
              <w:spacing w:before="0" w:after="283"/>
              <w:jc w:val="left"/>
              <w:rPr/>
            </w:pPr>
            <w:r>
              <w:rPr/>
              <w:t>“</w:t>
            </w:r>
            <w:r>
              <w:rPr>
                <w:b/>
              </w:rPr>
              <w:t>Specified Courts</w:t>
            </w:r>
            <w:r>
              <w:rPr/>
              <w:t>”</w:t>
            </w:r>
          </w:p>
        </w:tc>
        <w:tc>
          <w:tcPr>
            <w:tcW w:w="121" w:type="dxa"/>
            <w:tcBorders/>
            <w:vAlign w:val="bottom"/>
          </w:tcPr>
          <w:p>
            <w:pPr>
              <w:pStyle w:val="TableContents"/>
              <w:bidi w:val="0"/>
              <w:spacing w:before="0" w:after="283"/>
              <w:jc w:val="left"/>
              <w:rPr/>
            </w:pPr>
            <w:r>
              <w:rPr/>
              <w:t>  </w:t>
            </w:r>
          </w:p>
        </w:tc>
        <w:tc>
          <w:tcPr>
            <w:tcW w:w="2185" w:type="dxa"/>
            <w:tcBorders/>
          </w:tcPr>
          <w:p>
            <w:pPr>
              <w:pStyle w:val="TableContents"/>
              <w:bidi w:val="0"/>
              <w:spacing w:before="0" w:after="283"/>
              <w:jc w:val="right"/>
              <w:rPr>
                <w:b/>
              </w:rPr>
            </w:pPr>
            <w:r>
              <w:rPr>
                <w:b/>
              </w:rPr>
              <w:t>12.07</w:t>
            </w:r>
          </w:p>
        </w:tc>
      </w:tr>
      <w:tr>
        <w:trPr/>
        <w:tc>
          <w:tcPr>
            <w:tcW w:w="7899" w:type="dxa"/>
            <w:tcBorders/>
          </w:tcPr>
          <w:p>
            <w:pPr>
              <w:pStyle w:val="TableContents"/>
              <w:bidi w:val="0"/>
              <w:spacing w:before="0" w:after="283"/>
              <w:jc w:val="left"/>
              <w:rPr/>
            </w:pPr>
            <w:r>
              <w:rPr/>
              <w:t>“</w:t>
            </w:r>
            <w:r>
              <w:rPr>
                <w:b/>
              </w:rPr>
              <w:t>Spin-Off</w:t>
            </w:r>
            <w:r>
              <w:rPr/>
              <w:t>”</w:t>
            </w:r>
          </w:p>
        </w:tc>
        <w:tc>
          <w:tcPr>
            <w:tcW w:w="121" w:type="dxa"/>
            <w:tcBorders/>
            <w:vAlign w:val="bottom"/>
          </w:tcPr>
          <w:p>
            <w:pPr>
              <w:pStyle w:val="TableContents"/>
              <w:bidi w:val="0"/>
              <w:spacing w:before="0" w:after="283"/>
              <w:jc w:val="left"/>
              <w:rPr/>
            </w:pPr>
            <w:r>
              <w:rPr/>
              <w:t>  </w:t>
            </w:r>
          </w:p>
        </w:tc>
        <w:tc>
          <w:tcPr>
            <w:tcW w:w="2185" w:type="dxa"/>
            <w:tcBorders/>
          </w:tcPr>
          <w:p>
            <w:pPr>
              <w:pStyle w:val="TableContents"/>
              <w:bidi w:val="0"/>
              <w:spacing w:before="0" w:after="283"/>
              <w:jc w:val="right"/>
              <w:rPr>
                <w:b/>
              </w:rPr>
            </w:pPr>
            <w:r>
              <w:rPr>
                <w:b/>
              </w:rPr>
              <w:t>5.05(A)(iii)(2)</w:t>
            </w:r>
          </w:p>
        </w:tc>
      </w:tr>
      <w:tr>
        <w:trPr/>
        <w:tc>
          <w:tcPr>
            <w:tcW w:w="7899" w:type="dxa"/>
            <w:tcBorders/>
          </w:tcPr>
          <w:p>
            <w:pPr>
              <w:pStyle w:val="TableContents"/>
              <w:bidi w:val="0"/>
              <w:spacing w:before="0" w:after="283"/>
              <w:jc w:val="left"/>
              <w:rPr/>
            </w:pPr>
            <w:r>
              <w:rPr/>
              <w:t>“</w:t>
            </w:r>
            <w:r>
              <w:rPr>
                <w:b/>
              </w:rPr>
              <w:t>Spin-Off Valuation Period</w:t>
            </w:r>
            <w:r>
              <w:rPr/>
              <w:t>”</w:t>
            </w:r>
          </w:p>
        </w:tc>
        <w:tc>
          <w:tcPr>
            <w:tcW w:w="121" w:type="dxa"/>
            <w:tcBorders/>
            <w:vAlign w:val="bottom"/>
          </w:tcPr>
          <w:p>
            <w:pPr>
              <w:pStyle w:val="TableContents"/>
              <w:bidi w:val="0"/>
              <w:spacing w:before="0" w:after="283"/>
              <w:jc w:val="left"/>
              <w:rPr/>
            </w:pPr>
            <w:r>
              <w:rPr/>
              <w:t>  </w:t>
            </w:r>
          </w:p>
        </w:tc>
        <w:tc>
          <w:tcPr>
            <w:tcW w:w="2185" w:type="dxa"/>
            <w:tcBorders/>
          </w:tcPr>
          <w:p>
            <w:pPr>
              <w:pStyle w:val="TableContents"/>
              <w:bidi w:val="0"/>
              <w:spacing w:before="0" w:after="283"/>
              <w:jc w:val="right"/>
              <w:rPr>
                <w:b/>
              </w:rPr>
            </w:pPr>
            <w:r>
              <w:rPr>
                <w:b/>
              </w:rPr>
              <w:t>5.05(A)(iii)(2)</w:t>
            </w:r>
          </w:p>
        </w:tc>
      </w:tr>
      <w:tr>
        <w:trPr/>
        <w:tc>
          <w:tcPr>
            <w:tcW w:w="7899" w:type="dxa"/>
            <w:tcBorders/>
          </w:tcPr>
          <w:p>
            <w:pPr>
              <w:pStyle w:val="TableContents"/>
              <w:bidi w:val="0"/>
              <w:spacing w:before="0" w:after="283"/>
              <w:jc w:val="left"/>
              <w:rPr/>
            </w:pPr>
            <w:r>
              <w:rPr/>
              <w:t>“</w:t>
            </w:r>
            <w:r>
              <w:rPr>
                <w:b/>
              </w:rPr>
              <w:t>Stated Interest</w:t>
            </w:r>
            <w:r>
              <w:rPr/>
              <w:t>”</w:t>
            </w:r>
          </w:p>
        </w:tc>
        <w:tc>
          <w:tcPr>
            <w:tcW w:w="121" w:type="dxa"/>
            <w:tcBorders/>
            <w:vAlign w:val="bottom"/>
          </w:tcPr>
          <w:p>
            <w:pPr>
              <w:pStyle w:val="TableContents"/>
              <w:bidi w:val="0"/>
              <w:spacing w:before="0" w:after="283"/>
              <w:jc w:val="left"/>
              <w:rPr/>
            </w:pPr>
            <w:r>
              <w:rPr/>
              <w:t>  </w:t>
            </w:r>
          </w:p>
        </w:tc>
        <w:tc>
          <w:tcPr>
            <w:tcW w:w="2185" w:type="dxa"/>
            <w:tcBorders/>
          </w:tcPr>
          <w:p>
            <w:pPr>
              <w:pStyle w:val="TableContents"/>
              <w:bidi w:val="0"/>
              <w:spacing w:before="0" w:after="283"/>
              <w:jc w:val="right"/>
              <w:rPr>
                <w:b/>
              </w:rPr>
            </w:pPr>
            <w:r>
              <w:rPr>
                <w:b/>
              </w:rPr>
              <w:t>2.05(A)</w:t>
            </w:r>
          </w:p>
        </w:tc>
      </w:tr>
      <w:tr>
        <w:trPr/>
        <w:tc>
          <w:tcPr>
            <w:tcW w:w="7899" w:type="dxa"/>
            <w:tcBorders/>
          </w:tcPr>
          <w:p>
            <w:pPr>
              <w:pStyle w:val="TableContents"/>
              <w:bidi w:val="0"/>
              <w:spacing w:before="0" w:after="283"/>
              <w:jc w:val="left"/>
              <w:rPr/>
            </w:pPr>
            <w:r>
              <w:rPr/>
              <w:t>“</w:t>
            </w:r>
            <w:r>
              <w:rPr>
                <w:b/>
              </w:rPr>
              <w:t>Stated Interest Rate”</w:t>
            </w:r>
          </w:p>
        </w:tc>
        <w:tc>
          <w:tcPr>
            <w:tcW w:w="121" w:type="dxa"/>
            <w:tcBorders/>
            <w:vAlign w:val="bottom"/>
          </w:tcPr>
          <w:p>
            <w:pPr>
              <w:pStyle w:val="TableContents"/>
              <w:bidi w:val="0"/>
              <w:spacing w:before="0" w:after="283"/>
              <w:jc w:val="left"/>
              <w:rPr/>
            </w:pPr>
            <w:r>
              <w:rPr/>
              <w:t>  </w:t>
            </w:r>
          </w:p>
        </w:tc>
        <w:tc>
          <w:tcPr>
            <w:tcW w:w="2185" w:type="dxa"/>
            <w:tcBorders/>
          </w:tcPr>
          <w:p>
            <w:pPr>
              <w:pStyle w:val="TableContents"/>
              <w:bidi w:val="0"/>
              <w:spacing w:before="0" w:after="283"/>
              <w:jc w:val="right"/>
              <w:rPr>
                <w:b/>
              </w:rPr>
            </w:pPr>
            <w:r>
              <w:rPr>
                <w:b/>
              </w:rPr>
              <w:t>2.05(A)</w:t>
            </w:r>
          </w:p>
        </w:tc>
      </w:tr>
      <w:tr>
        <w:trPr/>
        <w:tc>
          <w:tcPr>
            <w:tcW w:w="7899" w:type="dxa"/>
            <w:tcBorders/>
          </w:tcPr>
          <w:p>
            <w:pPr>
              <w:pStyle w:val="TableContents"/>
              <w:bidi w:val="0"/>
              <w:spacing w:before="0" w:after="283"/>
              <w:jc w:val="left"/>
              <w:rPr/>
            </w:pPr>
            <w:r>
              <w:rPr/>
              <w:t>“</w:t>
            </w:r>
            <w:r>
              <w:rPr>
                <w:b/>
              </w:rPr>
              <w:t>Successor Person</w:t>
            </w:r>
            <w:r>
              <w:rPr/>
              <w:t>”</w:t>
            </w:r>
          </w:p>
        </w:tc>
        <w:tc>
          <w:tcPr>
            <w:tcW w:w="121" w:type="dxa"/>
            <w:tcBorders/>
            <w:vAlign w:val="bottom"/>
          </w:tcPr>
          <w:p>
            <w:pPr>
              <w:pStyle w:val="TableContents"/>
              <w:bidi w:val="0"/>
              <w:spacing w:before="0" w:after="283"/>
              <w:jc w:val="left"/>
              <w:rPr/>
            </w:pPr>
            <w:r>
              <w:rPr/>
              <w:t>  </w:t>
            </w:r>
          </w:p>
        </w:tc>
        <w:tc>
          <w:tcPr>
            <w:tcW w:w="2185" w:type="dxa"/>
            <w:tcBorders/>
          </w:tcPr>
          <w:p>
            <w:pPr>
              <w:pStyle w:val="TableContents"/>
              <w:bidi w:val="0"/>
              <w:spacing w:before="0" w:after="283"/>
              <w:jc w:val="right"/>
              <w:rPr>
                <w:b/>
              </w:rPr>
            </w:pPr>
            <w:r>
              <w:rPr>
                <w:b/>
              </w:rPr>
              <w:t>5.09(A)</w:t>
            </w:r>
          </w:p>
        </w:tc>
      </w:tr>
      <w:tr>
        <w:trPr/>
        <w:tc>
          <w:tcPr>
            <w:tcW w:w="7899" w:type="dxa"/>
            <w:tcBorders/>
          </w:tcPr>
          <w:p>
            <w:pPr>
              <w:pStyle w:val="TableContents"/>
              <w:bidi w:val="0"/>
              <w:spacing w:before="0" w:after="283"/>
              <w:jc w:val="left"/>
              <w:rPr/>
            </w:pPr>
            <w:r>
              <w:rPr/>
              <w:t>“</w:t>
            </w:r>
            <w:r>
              <w:rPr>
                <w:b/>
              </w:rPr>
              <w:t>Tender/Exchange Offer Valuation Period</w:t>
            </w:r>
            <w:r>
              <w:rPr/>
              <w:t>”</w:t>
            </w:r>
          </w:p>
        </w:tc>
        <w:tc>
          <w:tcPr>
            <w:tcW w:w="121" w:type="dxa"/>
            <w:tcBorders/>
            <w:vAlign w:val="bottom"/>
          </w:tcPr>
          <w:p>
            <w:pPr>
              <w:pStyle w:val="TableContents"/>
              <w:bidi w:val="0"/>
              <w:spacing w:before="0" w:after="283"/>
              <w:jc w:val="left"/>
              <w:rPr/>
            </w:pPr>
            <w:r>
              <w:rPr/>
              <w:t>  </w:t>
            </w:r>
          </w:p>
        </w:tc>
        <w:tc>
          <w:tcPr>
            <w:tcW w:w="2185" w:type="dxa"/>
            <w:tcBorders/>
          </w:tcPr>
          <w:p>
            <w:pPr>
              <w:pStyle w:val="TableContents"/>
              <w:bidi w:val="0"/>
              <w:spacing w:before="0" w:after="283"/>
              <w:jc w:val="right"/>
              <w:rPr>
                <w:b/>
              </w:rPr>
            </w:pPr>
            <w:r>
              <w:rPr>
                <w:b/>
              </w:rPr>
              <w:t>5.05(A)(v)</w:t>
            </w:r>
          </w:p>
        </w:tc>
      </w:tr>
      <w:tr>
        <w:trPr/>
        <w:tc>
          <w:tcPr>
            <w:tcW w:w="7899" w:type="dxa"/>
            <w:tcBorders/>
          </w:tcPr>
          <w:p>
            <w:pPr>
              <w:pStyle w:val="TableContents"/>
              <w:bidi w:val="0"/>
              <w:spacing w:before="0" w:after="283"/>
              <w:jc w:val="left"/>
              <w:rPr/>
            </w:pPr>
            <w:r>
              <w:rPr/>
              <w:t>“</w:t>
            </w:r>
            <w:r>
              <w:rPr>
                <w:b/>
              </w:rPr>
              <w:t>Trading Price Condition</w:t>
            </w:r>
            <w:r>
              <w:rPr/>
              <w:t>”</w:t>
            </w:r>
          </w:p>
        </w:tc>
        <w:tc>
          <w:tcPr>
            <w:tcW w:w="121" w:type="dxa"/>
            <w:tcBorders/>
            <w:vAlign w:val="bottom"/>
          </w:tcPr>
          <w:p>
            <w:pPr>
              <w:pStyle w:val="TableContents"/>
              <w:bidi w:val="0"/>
              <w:spacing w:before="0" w:after="283"/>
              <w:jc w:val="left"/>
              <w:rPr/>
            </w:pPr>
            <w:r>
              <w:rPr/>
              <w:t>  </w:t>
            </w:r>
          </w:p>
        </w:tc>
        <w:tc>
          <w:tcPr>
            <w:tcW w:w="2185" w:type="dxa"/>
            <w:tcBorders/>
          </w:tcPr>
          <w:p>
            <w:pPr>
              <w:pStyle w:val="TableContents"/>
              <w:bidi w:val="0"/>
              <w:spacing w:before="0" w:after="283"/>
              <w:jc w:val="right"/>
              <w:rPr>
                <w:b/>
              </w:rPr>
            </w:pPr>
            <w:r>
              <w:rPr>
                <w:b/>
              </w:rPr>
              <w:t>5.01(C)(i)(2)</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1.03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(A)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(B)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“will” expresses a command; </w:t>
      </w:r>
    </w:p>
    <w:p>
      <w:pPr>
        <w:pStyle w:val="TextBody"/>
        <w:bidi w:val="0"/>
        <w:spacing w:before="240" w:after="0"/>
        <w:jc w:val="left"/>
        <w:rPr>
          <w:rFonts w:ascii="Times New Roman" w:hAnsi="Times New Roman"/>
          <w:sz w:val="20"/>
        </w:rPr>
      </w:pPr>
      <w:r>
        <w:rPr>
          <w:rFonts w:ascii="Times New Roman" w:hAnsi="Times New Roman"/>
          <w:sz w:val="20"/>
        </w:rPr>
        <w:t xml:space="preserve">(D) the “average” of a set of numerical values refers to the arithmetic average of such numerical values; </w:t>
      </w:r>
    </w:p>
    <w:p>
      <w:pPr>
        <w:pStyle w:val="TextBody"/>
        <w:bidi w:val="0"/>
        <w:spacing w:before="240" w:after="0"/>
        <w:jc w:val="left"/>
        <w:rPr>
          <w:rFonts w:ascii="Times New Roman" w:hAnsi="Times New Roman"/>
          <w:sz w:val="20"/>
        </w:rPr>
      </w:pPr>
      <w:r>
        <w:rPr>
          <w:rFonts w:ascii="Times New Roman" w:hAnsi="Times New Roman"/>
          <w:sz w:val="20"/>
        </w:rPr>
        <w:t xml:space="preserve">(E)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 </w:t>
      </w:r>
    </w:p>
    <w:p>
      <w:pPr>
        <w:pStyle w:val="TextBody"/>
        <w:bidi w:val="0"/>
        <w:spacing w:before="240" w:after="0"/>
        <w:jc w:val="left"/>
        <w:rPr>
          <w:rFonts w:ascii="Times New Roman" w:hAnsi="Times New Roman"/>
          <w:sz w:val="20"/>
        </w:rPr>
      </w:pPr>
      <w:r>
        <w:rPr>
          <w:rFonts w:ascii="Times New Roman" w:hAnsi="Times New Roman"/>
          <w:sz w:val="20"/>
        </w:rPr>
        <w:t xml:space="preserve">(F) words in the singular include the plural and in the plural include the singular,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(G) “herein,” “hereof” and other words of similar import refer to this Indenture as a whole and not to any particular Article, Section or other subdivision of this Indenture,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(H) references to currency mean the lawful currency of the United States of America,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(I) the exhibits, schedules and other attachments to this Indenture are deemed to form part of this Indenture; and </w:t>
      </w:r>
    </w:p>
    <w:p>
      <w:pPr>
        <w:pStyle w:val="TextBody"/>
        <w:bidi w:val="0"/>
        <w:spacing w:before="240" w:after="0"/>
        <w:jc w:val="left"/>
        <w:rPr>
          <w:rFonts w:ascii="Times New Roman" w:hAnsi="Times New Roman"/>
          <w:sz w:val="20"/>
        </w:rPr>
      </w:pPr>
      <w:r>
        <w:rPr>
          <w:rFonts w:ascii="Times New Roman" w:hAnsi="Times New Roman"/>
          <w:sz w:val="20"/>
        </w:rPr>
        <w:t>(J) the term “</w:t>
      </w:r>
      <w:r>
        <w:rPr>
          <w:rFonts w:ascii="Times New Roman" w:hAnsi="Times New Roman"/>
          <w:b/>
          <w:sz w:val="20"/>
        </w:rPr>
        <w:t>interest</w:t>
      </w:r>
      <w:r>
        <w:rPr>
          <w:rFonts w:ascii="Times New Roman" w:hAnsi="Times New Roman"/>
          <w:sz w:val="20"/>
        </w:rPr>
        <w:t xml:space="preserve">,” when used with respect to a Note, includes any Default Interest, Additional Interest and Special Interest, unless the context requires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FORM, DATING AND 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Trustee’s certificate of authentication will be substantially in the form set forth in </w:t>
      </w:r>
      <w:r>
        <w:rPr>
          <w:rFonts w:ascii="Times New Roman" w:hAnsi="Times New Roman"/>
          <w:b/>
          <w:sz w:val="20"/>
        </w:rPr>
        <w:t>Exhibit A</w:t>
      </w:r>
      <w:r>
        <w:rPr>
          <w:rFonts w:ascii="Times New Roman" w:hAnsi="Times New Roman"/>
          <w:sz w:val="20"/>
        </w:rPr>
        <w:t xml:space="preserve">. The Notes will bear the legends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may bear notations, legends or endorsements required by law, stock exchange rule or usage or the Depositary. Each Note will be dated as of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issuable only in registered form without interest coupons and only in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representing a Note will bear a unique registration number that is not affixed to any other certificate representing another outstanding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any provision of any Note conflicts with the provisions of this Indenture, the provisions of this Indenture will control for purposes of this Indenture and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2.02 EXECUTION, AUTHENTICATION AND DELIVERY.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Due Execution by the Company</w:t>
      </w:r>
      <w:r>
        <w:rPr>
          <w:rFonts w:ascii="Times New Roman" w:hAnsi="Times New Roman"/>
          <w:sz w:val="20"/>
        </w:rPr>
        <w:t xml:space="preserve">. At least one (1) duly authorized Officer will sign the Notes on behalf of the Company by manual, facsimile or electronic signature. A Note’s validity will not be affected by the failure of any Officer whose signature is on any Note to hold, at the time such Note is authenticated, the same or any other office at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Authentication by the Trustee and Delivery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Note will be valid until it is authenticated by the Trustee by manual signature. A Note will be deemed to be duly authenticated only when an authorized signatory of the Trustee (or a duly appointed authenticating agent) signs the certificate of authentication of such Note.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will cause an authorized signatory of the Trustee (or a duly appointed authenticating agent) to sign the certificate of authentication of a Note upon receipt of (i) a Company Order to the Trustee that requests the Trustee to authenticate such Note, and sets forth the name of the Holder of such Note and the date as of which such Note is to be authenticated and (ii) the documents to which the Trustee is entitled under Section 12.02 hereof. If such Company Order also requests the Trustee to deliver such Note to any Holder or to the Depositary, then the Trustee will promptly deliver such Note in accordance with such Company Order. </w:t>
      </w:r>
    </w:p>
    <w:p>
      <w:pPr>
        <w:pStyle w:val="TextBody"/>
        <w:bidi w:val="0"/>
        <w:spacing w:before="240" w:after="0"/>
        <w:jc w:val="left"/>
        <w:rPr>
          <w:rFonts w:ascii="Times New Roman" w:hAnsi="Times New Roman"/>
          <w:sz w:val="20"/>
        </w:rPr>
      </w:pPr>
      <w:r>
        <w:rPr>
          <w:rFonts w:ascii="Times New Roman" w:hAnsi="Times New Roman"/>
          <w:sz w:val="20"/>
        </w:rPr>
        <w:t xml:space="preserve">(iii) 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INITIAL NOTES AND 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Notes</w:t>
      </w:r>
      <w:r>
        <w:rPr>
          <w:rFonts w:ascii="Times New Roman" w:hAnsi="Times New Roman"/>
          <w:sz w:val="20"/>
        </w:rPr>
        <w:t xml:space="preserve">. On the Issue Date, there will be originally issued seven hundred seventy-five million dollars ($775,000,000) aggregate principal amount of Notes, subject to the provisions of this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Notes issued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2.03(A)</w:t>
      </w:r>
      <w:r>
        <w:rPr>
          <w:rFonts w:ascii="Times New Roman" w:hAnsi="Times New Roman"/>
          <w:sz w:val="20"/>
        </w:rPr>
        <w:t>, and any Notes issued in exchange therefor or in substitution thereof, are referred to in this Indenture as the “</w:t>
      </w:r>
      <w:r>
        <w:rPr>
          <w:rFonts w:ascii="Times New Roman" w:hAnsi="Times New Roman"/>
          <w:b/>
          <w:sz w:val="20"/>
        </w:rPr>
        <w:t>Initial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Additional Notes</w:t>
      </w:r>
      <w:r>
        <w:rPr>
          <w:rFonts w:ascii="Times New Roman" w:hAnsi="Times New Roman"/>
          <w:sz w:val="20"/>
        </w:rPr>
        <w:t xml:space="preserve">. Without the consent of any Holder, the Company may, subject to the provisions of this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originally issue additional Notes with the same terms as the Initial Notes (except, to the extent applicable, with respect to the date as of which interest begins to accrue on such additional Notes and the first Interest Payment Date of such additional Notes), which additional Notes will, subject to the foregoing, be considered to be part of the same series of, and rank equally and ratably with all other, Notes issued under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additional Notes (and any Notes that are resold after such Notes have been purchased or otherwise acquired by the Company, the Parent Guarantor or their respective Subsidiaries) are not fungible with other Notes issued under this Indenture for purposes of federal income tax or federal securities laws or, if applicable, the Depositary Procedures, then such additional or resold Notes will be identified by a separate CUSIP number or by no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2.04 METHOD OF PAYMENT.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Global Notes</w:t>
      </w:r>
      <w:r>
        <w:rPr>
          <w:rFonts w:ascii="Times New Roman" w:hAnsi="Times New Roman"/>
          <w:sz w:val="20"/>
        </w:rPr>
        <w:t xml:space="preserve">. The Company will pay, or cause the Paying Agent to pay, the principal (whether due upon maturity on the Maturity Date, Redemption on a Redemption Date or repurchase on a Fundamental Change Repurchase Date or otherwise) of, interest on, the Maturity Premium, if any, in respect of, and any cash Exchange Consideration for, any Global Note to the Depositary by wire transfer of immediately available funds no later than the time the same is due as provided in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Additional Interest accrues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portion (and not the entire principal amount) of any outstanding Global Note in accordance with the Registration Rights Agreement for such Global Note, then the Company will pay such Additional Interest directly to the applicable beneficial owner(s) of such Global Note (as identified in the related Notice and Questionnaire(s)) to the extent the payment is not permitted or practicable under the Depositary Procedures, and the Trustee will have no responsibility for such payments.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Physical Notes</w:t>
      </w:r>
      <w:r>
        <w:rPr>
          <w:rFonts w:ascii="Times New Roman" w:hAnsi="Times New Roman"/>
          <w:sz w:val="20"/>
        </w:rPr>
        <w:t xml:space="preserve">. The Company will pay, or cause the Paying Agent to pay, the principal (whether due upon maturity on the Maturity Date, Redemption on a Redemption Date or repurchase on a Fundamental Change Repurchase Date or otherwise) of, interest on, the Maturity Premium, if any, in respect of, and any cash Exchange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Exchange Consideration, the relevant Exchange Date; and (z) with respect to any other payment, the date that is fifteen (15) calendar days immediately before the date such payment is due.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2.05 ACCRUAL OF INTEREST; DEFAULTED AMOUNTS; WHEN PAYMENT DATE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Accrual of Interest</w:t>
      </w:r>
      <w:r>
        <w:rPr>
          <w:rFonts w:ascii="Times New Roman" w:hAnsi="Times New Roman"/>
          <w:sz w:val="20"/>
        </w:rPr>
        <w:t>. Each Note will accrue interest at a rate per annum equal to 2.25% (the “</w:t>
      </w:r>
      <w:r>
        <w:rPr>
          <w:rFonts w:ascii="Times New Roman" w:hAnsi="Times New Roman"/>
          <w:b/>
          <w:sz w:val="20"/>
        </w:rPr>
        <w:t>Stated Interest</w:t>
      </w:r>
      <w:r>
        <w:rPr>
          <w:rFonts w:ascii="Times New Roman" w:hAnsi="Times New Roman"/>
          <w:sz w:val="20"/>
        </w:rPr>
        <w:t>” and such rate, the “</w:t>
      </w:r>
      <w:r>
        <w:rPr>
          <w:rFonts w:ascii="Times New Roman" w:hAnsi="Times New Roman"/>
          <w:b/>
          <w:sz w:val="20"/>
        </w:rPr>
        <w:t>Stated Interest Rate</w:t>
      </w:r>
      <w:r>
        <w:rPr>
          <w:rFonts w:ascii="Times New Roman" w:hAnsi="Times New Roman"/>
          <w:sz w:val="20"/>
        </w:rPr>
        <w:t xml:space="preserve">”), plus any Default Interest, Additional Interest and Special Interest that may accrue pursuant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2.05(B)</w:t>
      </w:r>
      <w:r>
        <w:rPr>
          <w:rFonts w:ascii="Times New Roman" w:hAnsi="Times New Roman"/>
          <w:sz w:val="20"/>
        </w:rPr>
        <w:t xml:space="preserve">, </w:t>
      </w:r>
      <w:r>
        <w:rPr>
          <w:rFonts w:ascii="Times New Roman" w:hAnsi="Times New Roman"/>
          <w:b/>
          <w:sz w:val="20"/>
        </w:rPr>
        <w:t>3.04</w:t>
      </w:r>
      <w:r>
        <w:rPr>
          <w:rFonts w:ascii="Times New Roman" w:hAnsi="Times New Roman"/>
          <w:sz w:val="20"/>
        </w:rPr>
        <w:t xml:space="preserve"> and </w:t>
      </w:r>
      <w:r>
        <w:rPr>
          <w:rFonts w:ascii="Times New Roman" w:hAnsi="Times New Roman"/>
          <w:b/>
          <w:sz w:val="20"/>
        </w:rPr>
        <w:t>7.03</w:t>
      </w:r>
      <w:r>
        <w:rPr>
          <w:rFonts w:ascii="Times New Roman" w:hAnsi="Times New Roman"/>
          <w:sz w:val="20"/>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4.02(D)</w:t>
      </w:r>
      <w:r>
        <w:rPr>
          <w:rFonts w:ascii="Times New Roman" w:hAnsi="Times New Roman"/>
          <w:sz w:val="20"/>
        </w:rPr>
        <w:t xml:space="preserve"> and </w:t>
      </w:r>
      <w:r>
        <w:rPr>
          <w:rFonts w:ascii="Times New Roman" w:hAnsi="Times New Roman"/>
          <w:b/>
          <w:sz w:val="20"/>
        </w:rPr>
        <w:t>5.02(D)</w:t>
      </w:r>
      <w:r>
        <w:rPr>
          <w:rFonts w:ascii="Times New Roman" w:hAnsi="Times New Roman"/>
          <w:sz w:val="20"/>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Defaulted Amounts</w:t>
      </w:r>
      <w:r>
        <w:rPr>
          <w:rFonts w:ascii="Times New Roman" w:hAnsi="Times New Roman"/>
          <w:sz w:val="20"/>
        </w:rPr>
        <w:t>. If the Company fails to pay any cash amount (a “</w:t>
      </w:r>
      <w:r>
        <w:rPr>
          <w:rFonts w:ascii="Times New Roman" w:hAnsi="Times New Roman"/>
          <w:b/>
          <w:sz w:val="20"/>
        </w:rPr>
        <w:t>Defaulted Amount</w:t>
      </w:r>
      <w:r>
        <w:rPr>
          <w:rFonts w:ascii="Times New Roman" w:hAnsi="Times New Roman"/>
          <w:sz w:val="20"/>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hAnsi="Times New Roman"/>
          <w:b/>
          <w:sz w:val="20"/>
        </w:rPr>
        <w:t>Default Interest</w:t>
      </w:r>
      <w:r>
        <w:rPr>
          <w:rFonts w:ascii="Times New Roman" w:hAnsi="Times New Roman"/>
          <w:sz w:val="20"/>
        </w:rPr>
        <w:t xml:space="preserve">”) will accrue on such Defaulted Amount at the Stated Interest Rate from, and including, such due date to, but excluding, the date of payment of such Defaulted Amount and Default Interest; (iii) such Defaulted Amount and Default Interest will be paid, at the Company’s election, as provided in clause (i) or (ii) below.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Payment of Defaulted Amounts on a Special Payment Date</w:t>
      </w:r>
      <w:r>
        <w:rPr>
          <w:rFonts w:ascii="Times New Roman" w:hAnsi="Times New Roman"/>
          <w:sz w:val="20"/>
        </w:rPr>
        <w:t xml:space="preserve">. The Company will have the right to pay such Default Amounts and Default Interest on a payment date selected by the Company to the Holder of such Note as of the Close of Business on a special record date selected by the Company, </w:t>
      </w:r>
      <w:r>
        <w:rPr>
          <w:rFonts w:ascii="Times New Roman" w:hAnsi="Times New Roman"/>
          <w:i/>
          <w:sz w:val="20"/>
        </w:rPr>
        <w:t>provided</w:t>
      </w:r>
      <w:r>
        <w:rPr>
          <w:rFonts w:ascii="Times New Roman" w:hAnsi="Times New Roman"/>
          <w:sz w:val="20"/>
        </w:rPr>
        <w:t xml:space="preserve"> that such special record date must be no more than fifteen (15), nor less than ten (10), calendar days before such payment date and at least fifteen (15) calendar days before such special record date, the Company will send notice to the Trustee and the Holders that states such special record date, such payment date and the amount of such Defaulted Amount and Default Interest to be paid on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Payment of Defaulted Amounts in Any Other Lawful Manner</w:t>
      </w:r>
      <w:r>
        <w:rPr>
          <w:rFonts w:ascii="Times New Roman" w:hAnsi="Times New Roman"/>
          <w:sz w:val="20"/>
        </w:rPr>
        <w:t xml:space="preserve">. If not paid in accordance with Section 2.05(B)(i), such Defaulted Amount and Default Interest will be paid by the Company in any other lawful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Section 2.05(B), a Default in the payment or delivery of any Exchange Consideration when due will be cured upon the payment or delivery of the same (together, if applicable in the case of any cash Exchange Consideration, with Default Interest thereon) to the Person to whom such Exchange Consideration is payable or deliverable (determined in accordance with Article 5).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Delay of Payment when Payment Date is Not a Business Day</w:t>
      </w:r>
      <w:r>
        <w:rPr>
          <w:rFonts w:ascii="Times New Roman" w:hAnsi="Times New Roman"/>
          <w:sz w:val="20"/>
        </w:rPr>
        <w:t xml:space="preserve">. If the due date for a payment on a Note as provided in this Indenture is not a Business Day, then, notwithstanding anything to the contrary in this Indenture or the Notes, such payment may be made on the immediately following Business Day with the same force and effect as if such payment were made on that due date,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Special Provision for Global Notes</w:t>
      </w:r>
      <w:r>
        <w:rPr>
          <w:rFonts w:ascii="Times New Roman" w:hAnsi="Times New Roman"/>
          <w:sz w:val="20"/>
        </w:rPr>
        <w:t xml:space="preserve">. If the first date on which any Additional Interest or Special Interest begins to accrue on a Global Note is on or after the fifth (5th) Business Day before a Regular Record Date and before the next Interest Payment Date, then, notwithstanding anything to the contrary in this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for the avoidance of doubt, no interest will accrue as a result of the related delay).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2.06 REGISTRAR, PAYING AGENT AND EXCHANGE AGENT.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Company will maintain (i) an office or agency in the continental United States where Notes may be presented for registration of transfer or for exchange (the “</w:t>
      </w:r>
      <w:r>
        <w:rPr>
          <w:rFonts w:ascii="Times New Roman" w:hAnsi="Times New Roman"/>
          <w:b/>
          <w:sz w:val="20"/>
        </w:rPr>
        <w:t>Registrar</w:t>
      </w:r>
      <w:r>
        <w:rPr>
          <w:rFonts w:ascii="Times New Roman" w:hAnsi="Times New Roman"/>
          <w:sz w:val="20"/>
        </w:rPr>
        <w:t>”); (ii) an office or agency in the continental United States where Notes may be presented for payment (the “</w:t>
      </w:r>
      <w:r>
        <w:rPr>
          <w:rFonts w:ascii="Times New Roman" w:hAnsi="Times New Roman"/>
          <w:b/>
          <w:sz w:val="20"/>
        </w:rPr>
        <w:t>Paying Agent</w:t>
      </w:r>
      <w:r>
        <w:rPr>
          <w:rFonts w:ascii="Times New Roman" w:hAnsi="Times New Roman"/>
          <w:sz w:val="20"/>
        </w:rPr>
        <w:t>”); and (iii) an office or agency in the continental United States where Notes may be presented for Exchange (the “</w:t>
      </w:r>
      <w:r>
        <w:rPr>
          <w:rFonts w:ascii="Times New Roman" w:hAnsi="Times New Roman"/>
          <w:b/>
          <w:sz w:val="20"/>
        </w:rPr>
        <w:t>Exchange Agent</w:t>
      </w:r>
      <w:r>
        <w:rPr>
          <w:rFonts w:ascii="Times New Roman" w:hAnsi="Times New Roman"/>
          <w:sz w:val="20"/>
        </w:rPr>
        <w:t xml:space="preserve">”). If the Company fails to maintain a Registrar, Paying Agent or Exchange Agent, then the Trustee will act as such and will receive compensation therefor in accordance with this Indenture and any other agreement between the Trustee and the Company. For the avoidance of doubt, the Company or any of its Subsidiaries may act as Registrar, Paying Agent or Exchange Agent.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2.06(A)</w:t>
      </w:r>
      <w:r>
        <w:rPr>
          <w:rFonts w:ascii="Times New Roman" w:hAnsi="Times New Roman"/>
          <w:sz w:val="20"/>
        </w:rPr>
        <w:t xml:space="preserve">, each of the Registrar, Paying Agent and Exchange Agent with respect to any Global Note must at all times be a Person that is eligible to act in that capacity under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Duties of the Registrar</w:t>
      </w:r>
      <w:r>
        <w:rPr>
          <w:rFonts w:ascii="Times New Roman" w:hAnsi="Times New Roman"/>
          <w:sz w:val="20"/>
        </w:rPr>
        <w:t>. The Registrar will keep a record (the “</w:t>
      </w:r>
      <w:r>
        <w:rPr>
          <w:rFonts w:ascii="Times New Roman" w:hAnsi="Times New Roman"/>
          <w:b/>
          <w:sz w:val="20"/>
        </w:rPr>
        <w:t>Register</w:t>
      </w:r>
      <w:r>
        <w:rPr>
          <w:rFonts w:ascii="Times New Roman" w:hAnsi="Times New Roman"/>
          <w:sz w:val="20"/>
        </w:rPr>
        <w:t xml:space="preserve">”) of the names and addresses of the Holders, the Notes held by each Holder and the transfer, exchange, repurchase, Redemption and Exchange of Notes. The entries in the Register will be conclusive and the Company and the Trustee shall treat each Person whose name is recorded as a Holder in the Register as a Holder for all purposes. The Register will be in written form or in any form capable of being converted into written form reasonably promptly.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Co-Agents; Company’s Right to Appoint Successor Registrars, Paying Agents and Exchange Agents</w:t>
      </w:r>
      <w:r>
        <w:rPr>
          <w:rFonts w:ascii="Times New Roman" w:hAnsi="Times New Roman"/>
          <w:sz w:val="20"/>
        </w:rPr>
        <w:t xml:space="preserve">. The Company may appoint one or more co-Registrars, co-Paying Agents and co-Exchange Agents, each of whom will be deemed to be a Registrar, Paying Agent or Exchange Agent, as applicable, under this Indenture.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2.06(A)</w:t>
      </w:r>
      <w:r>
        <w:rPr>
          <w:rFonts w:ascii="Times New Roman" w:hAnsi="Times New Roman"/>
          <w:sz w:val="20"/>
        </w:rPr>
        <w:t xml:space="preserve">, the Company may change any Registrar, Paying Agent or Exchange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Initial Appointments</w:t>
      </w:r>
      <w:r>
        <w:rPr>
          <w:rFonts w:ascii="Times New Roman" w:hAnsi="Times New Roman"/>
          <w:sz w:val="20"/>
        </w:rPr>
        <w:t xml:space="preserve">. The Company appoints the Trustee as the initial Paying Agent, the initial Registrar and the initial Exchange Agent and designates the corporate trust office of the Trustee identified in Section 12.01 in the continental United States as the office for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2.07 PAYING AGENT AND EXCHANGE AGENT TO HOLD PROPERTY IN TRUST.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require each Paying Agent or Exchange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Exchange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Exchange Agent, then (A) it will segregate and hold in a separate trust fund for the benefit of the Holders or the Trustee all money and other property held by it as Paying Agent or Exchange Agent; and (B) references in this Indenture or the Notes to the Paying Agent or Exchange Agent holding cash or other property, or to the delivery of cash or other property to the Paying Agent or Exchange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(x)</w:t>
      </w:r>
      <w:r>
        <w:rPr>
          <w:rFonts w:ascii="Times New Roman" w:hAnsi="Times New Roman"/>
          <w:sz w:val="20"/>
        </w:rPr>
        <w:t xml:space="preserve"> or </w:t>
      </w:r>
      <w:r>
        <w:rPr>
          <w:rFonts w:ascii="Times New Roman" w:hAnsi="Times New Roman"/>
          <w:b/>
          <w:sz w:val="20"/>
        </w:rPr>
        <w:t>(xi)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with respect to the Company (or with respect to any Subsidiary of the Company acting as Paying Agent or Exchange Agent), the Trustee will serve as the Paying Agent or Exchange Agent, as applicable,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2.08 HOLDER LISTS.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2.09 LEGENDS.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Global Note Legend</w:t>
      </w:r>
      <w:r>
        <w:rPr>
          <w:rFonts w:ascii="Times New Roman" w:hAnsi="Times New Roman"/>
          <w:sz w:val="20"/>
        </w:rPr>
        <w:t xml:space="preserve">. Each Global Note will bear the Global Note Legend (or any similar legend, not inconsistent with this Indenture, required by the Depositary for such Global Note).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Non-Affiliate Legend</w:t>
      </w:r>
      <w:r>
        <w:rPr>
          <w:rFonts w:ascii="Times New Roman" w:hAnsi="Times New Roman"/>
          <w:sz w:val="20"/>
        </w:rPr>
        <w:t xml:space="preserve">. Each Note will bear the Non-Affiliate Legend.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Restricted Note Legend</w:t>
      </w:r>
      <w:r>
        <w:rPr>
          <w:rFonts w:ascii="Times New Roman" w:hAnsi="Times New Roman"/>
          <w:sz w:val="20"/>
        </w:rPr>
        <w:t xml:space="preserve">. Subject to the other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 each Note that is a Transfer-Restricted Security will bear the Restricted Note Legend; and </w:t>
      </w:r>
    </w:p>
    <w:p>
      <w:pPr>
        <w:pStyle w:val="TextBody"/>
        <w:bidi w:val="0"/>
        <w:spacing w:before="240" w:after="0"/>
        <w:jc w:val="left"/>
        <w:rPr>
          <w:rFonts w:ascii="Times New Roman" w:hAnsi="Times New Roman"/>
          <w:sz w:val="20"/>
        </w:rPr>
      </w:pPr>
      <w:r>
        <w:rPr>
          <w:rFonts w:ascii="Times New Roman" w:hAnsi="Times New Roman"/>
          <w:sz w:val="20"/>
        </w:rPr>
        <w:t xml:space="preserve">(ii) if a Note is issued in exchange for, in substitution of, or to effect a partial Exchange of, another Note (such other Note being referred to as the “old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2.09(C)(ii)</w:t>
      </w:r>
      <w:r>
        <w:rPr>
          <w:rFonts w:ascii="Times New Roman" w:hAnsi="Times New Roman"/>
          <w:sz w:val="20"/>
        </w:rPr>
        <w:t>), including pursuant to Section </w:t>
      </w:r>
      <w:r>
        <w:rPr>
          <w:rFonts w:ascii="Times New Roman" w:hAnsi="Times New Roman"/>
          <w:b/>
          <w:sz w:val="20"/>
        </w:rPr>
        <w:t>2.10(B)</w:t>
      </w:r>
      <w:r>
        <w:rPr>
          <w:rFonts w:ascii="Times New Roman" w:hAnsi="Times New Roman"/>
          <w:sz w:val="20"/>
        </w:rPr>
        <w:t xml:space="preserve">, </w:t>
      </w:r>
      <w:r>
        <w:rPr>
          <w:rFonts w:ascii="Times New Roman" w:hAnsi="Times New Roman"/>
          <w:b/>
          <w:sz w:val="20"/>
        </w:rPr>
        <w:t>2.10(C)</w:t>
      </w:r>
      <w:r>
        <w:rPr>
          <w:rFonts w:ascii="Times New Roman" w:hAnsi="Times New Roman"/>
          <w:sz w:val="20"/>
        </w:rPr>
        <w:t xml:space="preserve">, </w:t>
      </w:r>
      <w:r>
        <w:rPr>
          <w:rFonts w:ascii="Times New Roman" w:hAnsi="Times New Roman"/>
          <w:b/>
          <w:sz w:val="20"/>
        </w:rPr>
        <w:t>2.11</w:t>
      </w:r>
      <w:r>
        <w:rPr>
          <w:rFonts w:ascii="Times New Roman" w:hAnsi="Times New Roman"/>
          <w:sz w:val="20"/>
        </w:rPr>
        <w:t xml:space="preserve"> or </w:t>
      </w:r>
      <w:r>
        <w:rPr>
          <w:rFonts w:ascii="Times New Roman" w:hAnsi="Times New Roman"/>
          <w:b/>
          <w:sz w:val="20"/>
        </w:rPr>
        <w:t>2.12</w:t>
      </w:r>
      <w:r>
        <w:rPr>
          <w:rFonts w:ascii="Times New Roman" w:hAnsi="Times New Roman"/>
          <w:sz w:val="20"/>
        </w:rPr>
        <w:t xml:space="preserve">, then such Note will bear the Restricted Note Legend if such old Note bore the Restricted Note Legend at the time of such exchange or substitution, or on the related Exchange Date with respect to such Exchange,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Note need not bear the Restricted Note Legend if such Note does not constitute a Transfer-Restricted Security immediately after such exchange or substitution, or as of such Exchange Date,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Legends</w:t>
      </w:r>
      <w:r>
        <w:rPr>
          <w:rFonts w:ascii="Times New Roman" w:hAnsi="Times New Roman"/>
          <w:sz w:val="20"/>
        </w:rPr>
        <w:t xml:space="preserve">. A Note may bear any other legend or text, not inconsistent with this Indenture, as may be required by applicable law or by any securities exchange or automated quotation system on which such Note is traded or quoted.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Acknowledgment and Agreement by the Holders</w:t>
      </w:r>
      <w:r>
        <w:rPr>
          <w:rFonts w:ascii="Times New Roman" w:hAnsi="Times New Roman"/>
          <w:sz w:val="20"/>
        </w:rPr>
        <w:t xml:space="preserve">. A Holder’s acceptance of any Note bearing any legend required by this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will constitute such Holder’s acknowledgment of, and agreement to comply with, the restrictions set forth in such legend.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Restricted Stock Legend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Exchange Share will, upon its issuance, bear the Restricted Stock Legend if it is a Transfer-Restricted Security at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Exchange Share need not bear the Restricted Stock Legend if the Company determines, in its reasonable discretion, that such Exchange Share need not bear the Restricted Stock Legend.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2.09(F)</w:t>
      </w:r>
      <w:r>
        <w:rPr>
          <w:rFonts w:ascii="Times New Roman" w:hAnsi="Times New Roman"/>
          <w:sz w:val="20"/>
        </w:rPr>
        <w:t xml:space="preserve">, an Exchange Share need not bear a Restricted Stock Legend if such Exchange Share is delivered in an uncertificated form that does not permit affixing legends thereto, </w:t>
      </w:r>
      <w:r>
        <w:rPr>
          <w:rFonts w:ascii="Times New Roman" w:hAnsi="Times New Roman"/>
          <w:i/>
          <w:sz w:val="20"/>
        </w:rPr>
        <w:t>provided</w:t>
      </w:r>
      <w:r>
        <w:rPr>
          <w:rFonts w:ascii="Times New Roman" w:hAnsi="Times New Roman"/>
          <w:sz w:val="20"/>
        </w:rPr>
        <w:t xml:space="preserve"> the Company takes measures (including the assignment thereto of a “restricted” CUSIP number) that it reasonably deems appropriate to enforce the transfer restrictions referred to in the Restricted Stock Legend.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2.10 TRANSFERS AND EXCHANGES; CERTAIN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Provisions Applicable to All Transfers and Exchanges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Physical Notes and beneficial interests in Global Notes may be transferred or exchanged from time to time and the Registrar will record each such transfer or exchange in the Register.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Transferred and Exchanged Notes Remain Valid Obligations of the Company</w:t>
      </w:r>
      <w:r>
        <w:rPr>
          <w:rFonts w:ascii="Times New Roman" w:hAnsi="Times New Roman"/>
          <w:sz w:val="20"/>
        </w:rPr>
        <w:t xml:space="preserve">. Each Note issued upon transfer or exchange of any other Note (such other Note being referred to as the “old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2.10(A)(ii)</w:t>
      </w:r>
      <w:r>
        <w:rPr>
          <w:rFonts w:ascii="Times New Roman" w:hAnsi="Times New Roman"/>
          <w:sz w:val="20"/>
        </w:rPr>
        <w:t xml:space="preserve">) or portion thereof in accordance with this Indenture will be the valid obligation of the Company, evidencing the same indebtedness, and entitled to the same benefits under this Indenture, as such old Note or portion thereof,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No Services Charge; Transfer Taxes</w:t>
      </w:r>
      <w:r>
        <w:rPr>
          <w:rFonts w:ascii="Times New Roman" w:hAnsi="Times New Roman"/>
          <w:sz w:val="20"/>
        </w:rPr>
        <w:t xml:space="preserve">. The Company, the Parent Guarantor, the Trustee and the Note Agents will not impose any service charge on any Holder for any transfer, exchange or Exchange of Notes,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the Company, the Parent Guarantor, the Trustee, the Registrar and the Exchange Agent may require payment of a sum sufficient to cover any transfer tax or similar governmental charge that may be imposed in connection with any transfer, exchange or Exchange of Notes, other than exchanges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rPr>
        <w:t>2.16</w:t>
      </w:r>
      <w:r>
        <w:rPr>
          <w:rFonts w:ascii="Times New Roman" w:hAnsi="Times New Roman"/>
          <w:sz w:val="20"/>
        </w:rPr>
        <w:t xml:space="preserve"> or </w:t>
      </w:r>
      <w:r>
        <w:rPr>
          <w:rFonts w:ascii="Times New Roman" w:hAnsi="Times New Roman"/>
          <w:b/>
          <w:sz w:val="20"/>
        </w:rPr>
        <w:t>8.05</w:t>
      </w:r>
      <w:r>
        <w:rPr>
          <w:rFonts w:ascii="Times New Roman" w:hAnsi="Times New Roman"/>
          <w:sz w:val="20"/>
        </w:rPr>
        <w:t xml:space="preserve">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Transfers and Exchanges Must Be in Authorized Denominations</w:t>
      </w:r>
      <w:r>
        <w:rPr>
          <w:rFonts w:ascii="Times New Roman" w:hAnsi="Times New Roman"/>
          <w:sz w:val="20"/>
        </w:rPr>
        <w:t xml:space="preserve">. Notwithstanding anything to the contrary in this Indenture or the Notes, a Note may not be transferred or exchanged in part unless the portion to be so transferred or exchanged is in an Authorized Denomination.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Trustee’s Disclaimer</w:t>
      </w:r>
      <w:r>
        <w:rPr>
          <w:rFonts w:ascii="Times New Roman" w:hAnsi="Times New Roman"/>
          <w:sz w:val="20"/>
        </w:rPr>
        <w:t xml:space="preserve">. 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Legends</w:t>
      </w:r>
      <w:r>
        <w:rPr>
          <w:rFonts w:ascii="Times New Roman" w:hAnsi="Times New Roman"/>
          <w:sz w:val="20"/>
        </w:rPr>
        <w:t xml:space="preserve">. Each Note issued upon transfer of, or in exchange for, another Note will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Settlement of Transfers and Exchanges</w:t>
      </w:r>
      <w:r>
        <w:rPr>
          <w:rFonts w:ascii="Times New Roman" w:hAnsi="Times New Roman"/>
          <w:sz w:val="20"/>
        </w:rPr>
        <w:t xml:space="preserve">.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 </w:t>
      </w:r>
    </w:p>
    <w:p>
      <w:pPr>
        <w:pStyle w:val="TextBody"/>
        <w:bidi w:val="0"/>
        <w:spacing w:before="24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Interpretation</w:t>
      </w:r>
      <w:r>
        <w:rPr>
          <w:rFonts w:ascii="Times New Roman" w:hAnsi="Times New Roman"/>
          <w:sz w:val="20"/>
        </w:rPr>
        <w:t xml:space="preserve">. For the avoidance of doubt, and subject to the terms of this Indenture, as used in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 </w:t>
      </w:r>
    </w:p>
    <w:p>
      <w:pPr>
        <w:pStyle w:val="TextBody"/>
        <w:bidi w:val="0"/>
        <w:spacing w:before="24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Limitation on De-Legending Notes</w:t>
      </w:r>
      <w:r>
        <w:rPr>
          <w:rFonts w:ascii="Times New Roman" w:hAnsi="Times New Roman"/>
          <w:sz w:val="20"/>
        </w:rPr>
        <w:t xml:space="preserve">. Notwithstanding anything to the contrary in this Indenture or the Notes, the Company, in its sole and absolute discretion, may refuse to reissue any Note without a Restricted Note Legend or to cause any Note to be identified by an “unrestricted” CUSIP number or similar identifier.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Transfers and Exchanges of 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Certain Restrictions</w:t>
      </w:r>
      <w:r>
        <w:rPr>
          <w:rFonts w:ascii="Times New Roman" w:hAnsi="Times New Roman"/>
          <w:sz w:val="20"/>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hAnsi="Times New Roman"/>
          <w:i/>
          <w:sz w:val="20"/>
        </w:rPr>
        <w:t>provided</w:t>
      </w:r>
      <w:r>
        <w:rPr>
          <w:rFonts w:ascii="Times New Roman" w:hAnsi="Times New Roman"/>
          <w:sz w:val="20"/>
        </w:rPr>
        <w:t xml:space="preserve">, however, that a Global Note will be exchanged, pursuant to customary procedures, for one or more Physical Notes if: </w:t>
      </w:r>
    </w:p>
    <w:p>
      <w:pPr>
        <w:pStyle w:val="TextBody"/>
        <w:bidi w:val="0"/>
        <w:spacing w:before="120" w:after="0"/>
        <w:jc w:val="left"/>
        <w:rPr>
          <w:rFonts w:ascii="Times New Roman" w:hAnsi="Times New Roman"/>
          <w:sz w:val="20"/>
        </w:rPr>
      </w:pPr>
      <w:r>
        <w:rPr>
          <w:rFonts w:ascii="Times New Roman" w:hAnsi="Times New Roman"/>
          <w:sz w:val="20"/>
        </w:rPr>
        <w:t xml:space="preserve">(1) (x)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 </w:t>
      </w:r>
    </w:p>
    <w:p>
      <w:pPr>
        <w:pStyle w:val="TextBody"/>
        <w:bidi w:val="0"/>
        <w:spacing w:before="240" w:after="0"/>
        <w:jc w:val="left"/>
        <w:rPr>
          <w:rFonts w:ascii="Times New Roman" w:hAnsi="Times New Roman"/>
          <w:sz w:val="20"/>
        </w:rPr>
      </w:pPr>
      <w:r>
        <w:rPr>
          <w:rFonts w:ascii="Times New Roman" w:hAnsi="Times New Roman"/>
          <w:sz w:val="20"/>
        </w:rPr>
        <w:t xml:space="preserve">(3) the Company, in its sole discretion, permits the exchange of any beneficial interest in such Global Note for one or more Physical Notes at the request of the owner of such beneficial interest.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Effecting Transfers and Exchanges</w:t>
      </w:r>
      <w:r>
        <w:rPr>
          <w:rFonts w:ascii="Times New Roman" w:hAnsi="Times New Roman"/>
          <w:sz w:val="20"/>
        </w:rPr>
        <w:t xml:space="preserve">. Upon satisfaction of the requirements of this Indenture to effect a transfer or exchange of any Global Note (or any portion thereof):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if required to effect such transfer or exchange, then the Trustee will reflect any resulting increase of the principal amount of any other Global Note by notation on the “Schedule of Exchanges of Interests in the Global Note” forming part of such other Global Note; </w:t>
      </w:r>
    </w:p>
    <w:p>
      <w:pPr>
        <w:pStyle w:val="TextBody"/>
        <w:bidi w:val="0"/>
        <w:spacing w:before="240" w:after="0"/>
        <w:jc w:val="left"/>
        <w:rPr>
          <w:rFonts w:ascii="Times New Roman" w:hAnsi="Times New Roman"/>
          <w:sz w:val="20"/>
        </w:rPr>
      </w:pPr>
      <w:r>
        <w:rPr>
          <w:rFonts w:ascii="Times New Roman" w:hAnsi="Times New Roman"/>
          <w:sz w:val="20"/>
        </w:rPr>
        <w:t xml:space="preserve">(3) if required to effect such transfer or exchange,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new Global Note bearing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(4) 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Compliance with Depositary Procedures</w:t>
      </w:r>
      <w:r>
        <w:rPr>
          <w:rFonts w:ascii="Times New Roman" w:hAnsi="Times New Roman"/>
          <w:sz w:val="20"/>
        </w:rPr>
        <w:t xml:space="preserve">. Each transfer or exchange of a beneficial interest in any Global Note will be made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Transfers and Exchanges of Physical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Requirements for Transfers and Exchanges</w:t>
      </w:r>
      <w:r>
        <w:rPr>
          <w:rFonts w:ascii="Times New Roman" w:hAnsi="Times New Roman"/>
          <w:sz w:val="20"/>
        </w:rPr>
        <w:t xml:space="preserve">.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effect any such transfer or exchange, such Holder must: </w:t>
      </w:r>
    </w:p>
    <w:p>
      <w:pPr>
        <w:pStyle w:val="TextBody"/>
        <w:bidi w:val="0"/>
        <w:spacing w:before="240" w:after="0"/>
        <w:jc w:val="left"/>
        <w:rPr>
          <w:rFonts w:ascii="Times New Roman" w:hAnsi="Times New Roman"/>
          <w:sz w:val="20"/>
        </w:rPr>
      </w:pPr>
      <w:r>
        <w:rPr>
          <w:rFonts w:ascii="Times New Roman" w:hAnsi="Times New Roman"/>
          <w:sz w:val="20"/>
        </w:rPr>
        <w:t xml:space="preserve">(1) surrender such Physical Note to be transferred or exchanged to the office of the Registrar, together with any endorsements or transfer instruments reasonably required by the Company, the Trustee or the Registrar; and </w:t>
      </w:r>
    </w:p>
    <w:p>
      <w:pPr>
        <w:pStyle w:val="TextBody"/>
        <w:bidi w:val="0"/>
        <w:spacing w:before="240" w:after="0"/>
        <w:jc w:val="left"/>
        <w:rPr>
          <w:rFonts w:ascii="Times New Roman" w:hAnsi="Times New Roman"/>
          <w:sz w:val="20"/>
        </w:rPr>
      </w:pPr>
      <w:r>
        <w:rPr>
          <w:rFonts w:ascii="Times New Roman" w:hAnsi="Times New Roman"/>
          <w:sz w:val="20"/>
        </w:rPr>
        <w:t xml:space="preserve">(2) deliver such certificates, documentation or evidence as may be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2.10(D)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Effecting Transfers and Exchanges</w:t>
      </w:r>
      <w:r>
        <w:rPr>
          <w:rFonts w:ascii="Times New Roman" w:hAnsi="Times New Roman"/>
          <w:sz w:val="20"/>
        </w:rPr>
        <w:t xml:space="preserve">. Upon the satisfaction of the requirements of this Indenture to effect a transfer or exchange of any Physical Note (such Physical Note being referred to as the “old Physical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2.10(C)(ii)</w:t>
      </w:r>
      <w:r>
        <w:rPr>
          <w:rFonts w:ascii="Times New Roman" w:hAnsi="Times New Roman"/>
          <w:sz w:val="20"/>
        </w:rPr>
        <w:t xml:space="preserve">) of a Holder (or any portion of such old Physical Note in an Authorized Denomination): </w:t>
      </w:r>
    </w:p>
    <w:p>
      <w:pPr>
        <w:pStyle w:val="TextBody"/>
        <w:bidi w:val="0"/>
        <w:spacing w:before="120" w:after="0"/>
        <w:jc w:val="left"/>
        <w:rPr>
          <w:rFonts w:ascii="Times New Roman" w:hAnsi="Times New Roman"/>
          <w:sz w:val="20"/>
        </w:rPr>
      </w:pPr>
      <w:r>
        <w:rPr>
          <w:rFonts w:ascii="Times New Roman" w:hAnsi="Times New Roman"/>
          <w:sz w:val="20"/>
        </w:rPr>
        <w:t xml:space="preserve">(1) such old Physical Note will be promptly cancelled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if such old Physical Note is to be so transferred or exchanged only in part,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in the case of a transfer: </w:t>
      </w:r>
    </w:p>
    <w:p>
      <w:pPr>
        <w:pStyle w:val="TextBody"/>
        <w:bidi w:val="0"/>
        <w:spacing w:before="120" w:after="0"/>
        <w:jc w:val="left"/>
        <w:rPr>
          <w:rFonts w:ascii="Times New Roman" w:hAnsi="Times New Roman"/>
          <w:sz w:val="20"/>
        </w:rPr>
      </w:pPr>
      <w:r>
        <w:rPr>
          <w:rFonts w:ascii="Times New Roman" w:hAnsi="Times New Roman"/>
          <w:sz w:val="20"/>
        </w:rPr>
        <w:t xml:space="preserve">(a)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transfer cannot be so effected by notation on one or more existing Global Notes (whether because no Global Notes bearing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(b) 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(4) in the case of an exchange,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Requirement to Deliver Documentation and Other Evidence</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2.10(A)(ix)</w:t>
      </w:r>
      <w:r>
        <w:rPr>
          <w:rFonts w:ascii="Times New Roman" w:hAnsi="Times New Roman"/>
          <w:sz w:val="20"/>
        </w:rPr>
        <w:t xml:space="preserve">, if a Holder of any Note that is identified by a “restricted” CUSIP number or that bears a Restricted Note Legend or is a Transfer-Restricted Security requests to: </w:t>
      </w:r>
    </w:p>
    <w:p>
      <w:pPr>
        <w:pStyle w:val="TextBody"/>
        <w:bidi w:val="0"/>
        <w:spacing w:before="120" w:after="0"/>
        <w:jc w:val="left"/>
        <w:rPr>
          <w:rFonts w:ascii="Times New Roman" w:hAnsi="Times New Roman"/>
          <w:sz w:val="20"/>
        </w:rPr>
      </w:pPr>
      <w:r>
        <w:rPr>
          <w:rFonts w:ascii="Times New Roman" w:hAnsi="Times New Roman"/>
          <w:sz w:val="20"/>
        </w:rPr>
        <w:t xml:space="preserve">(i) cause such Note to be identified by an “unrestricted” CUSIP number; </w:t>
      </w:r>
    </w:p>
    <w:p>
      <w:pPr>
        <w:pStyle w:val="TextBody"/>
        <w:bidi w:val="0"/>
        <w:spacing w:before="240" w:after="0"/>
        <w:jc w:val="left"/>
        <w:rPr>
          <w:rFonts w:ascii="Times New Roman" w:hAnsi="Times New Roman"/>
          <w:sz w:val="20"/>
        </w:rPr>
      </w:pPr>
      <w:r>
        <w:rPr>
          <w:rFonts w:ascii="Times New Roman" w:hAnsi="Times New Roman"/>
          <w:sz w:val="20"/>
        </w:rPr>
        <w:t xml:space="preserve">(ii) remove such Restricted Note Legend; or </w:t>
      </w:r>
    </w:p>
    <w:p>
      <w:pPr>
        <w:pStyle w:val="TextBody"/>
        <w:bidi w:val="0"/>
        <w:spacing w:before="240" w:after="0"/>
        <w:jc w:val="left"/>
        <w:rPr>
          <w:rFonts w:ascii="Times New Roman" w:hAnsi="Times New Roman"/>
          <w:sz w:val="20"/>
        </w:rPr>
      </w:pPr>
      <w:r>
        <w:rPr>
          <w:rFonts w:ascii="Times New Roman" w:hAnsi="Times New Roman"/>
          <w:sz w:val="20"/>
        </w:rPr>
        <w:t xml:space="preserve">(iii) register the transfer of such Note to the name of another Person, then the Company, the Parent Guarantor, the Trustee and the Registrar may refuse to effect such identification, removal or transfer, as applicable, unless there is delivered to the Company, the Parent Guarantor, the Trustee and the Registrar such certificates or other documentation necessary to evidence that such identification, removal or transfer, as applicable, complies with the Securities Act and other applicable securities laws;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limiting </w:t>
      </w:r>
      <w:r>
        <w:rPr>
          <w:rFonts w:ascii="Times New Roman" w:hAnsi="Times New Roman"/>
          <w:b/>
          <w:sz w:val="20"/>
        </w:rPr>
        <w:t>Section</w:t>
      </w:r>
      <w:r>
        <w:rPr>
          <w:rFonts w:ascii="Times New Roman" w:hAnsi="Times New Roman"/>
          <w:sz w:val="20"/>
        </w:rPr>
        <w:t> </w:t>
      </w:r>
      <w:r>
        <w:rPr>
          <w:rFonts w:ascii="Times New Roman" w:hAnsi="Times New Roman"/>
          <w:b/>
          <w:sz w:val="20"/>
        </w:rPr>
        <w:t>2.10(E)</w:t>
      </w:r>
      <w:r>
        <w:rPr>
          <w:rFonts w:ascii="Times New Roman" w:hAnsi="Times New Roman"/>
          <w:sz w:val="20"/>
        </w:rPr>
        <w:t xml:space="preserve">, no such certificates, documentation or evidence (other than a written request in the form contemplated by </w:t>
      </w:r>
      <w:r>
        <w:rPr>
          <w:rFonts w:ascii="Times New Roman" w:hAnsi="Times New Roman"/>
          <w:b/>
          <w:sz w:val="20"/>
        </w:rPr>
        <w:t>Section</w:t>
      </w:r>
      <w:r>
        <w:rPr>
          <w:rFonts w:ascii="Times New Roman" w:hAnsi="Times New Roman"/>
          <w:sz w:val="20"/>
        </w:rPr>
        <w:t> </w:t>
      </w:r>
      <w:r>
        <w:rPr>
          <w:rFonts w:ascii="Times New Roman" w:hAnsi="Times New Roman"/>
          <w:b/>
          <w:sz w:val="20"/>
        </w:rPr>
        <w:t>2.10(E)</w:t>
      </w:r>
      <w:r>
        <w:rPr>
          <w:rFonts w:ascii="Times New Roman" w:hAnsi="Times New Roman"/>
          <w:sz w:val="20"/>
        </w:rPr>
        <w:t xml:space="preserve">) need be so delivered with respect to any transfer pursuant to Rule 144 on or and after the date that is six (6) months after the Last Original Issue Date of such Note if the requirements of Rule 144(c) are then satisfied with respect to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Certain De-Legending Procedures</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2.10(A)(ix)</w:t>
      </w:r>
      <w:r>
        <w:rPr>
          <w:rFonts w:ascii="Times New Roman" w:hAnsi="Times New Roman"/>
          <w:sz w:val="20"/>
        </w:rPr>
        <w:t xml:space="preserve">, if a Holder of any Note or share of Common Stock delivered upon Exchange of any Note, or an owner of a beneficial interest in any Global Note, or in a global certificate representing any share of Common Stock delivered upon Exchange of any Note, transfers such Note or share in compliance with Rule 144 and delivers to the Company a written request in customary form (including a certification that it is not, and has not been at any time during the preceding three (3) months, an Affiliate of the Company) to reissue such Note or share without a Restricted Note Legend or Restricted Stock Legend, as applicable, then the Company will use its commercially reasonable efforts to cause the same to occur (and, if applicable, cause such Note or share to thereafter be represented by an “unrestricted” CUSIP or ISIN number in the facilities of the related depositary).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Transfers of Notes Subject to Redemption, Repurchase or Exchange</w:t>
      </w:r>
      <w:r>
        <w:rPr>
          <w:rFonts w:ascii="Times New Roman" w:hAnsi="Times New Roman"/>
          <w:sz w:val="20"/>
        </w:rPr>
        <w:t xml:space="preserve">. Notwithstanding anything to the contrary in this Indenture or the Notes, the Company, the Parent Guarantor, the Trustee and the Registrar will not be required to register the transfer of or exchange any Note that (i) has been surrendered for Exchange, except to the extent that any portion of such Note is not subject to Exchange; (ii) is subject to a Fundamental Change Repurchase Notice validly delivered, and not withdrawn,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2.11 EXCHANGE AND CANCELLATION OF NOTES TO BE EXCHANGED OR TO BE REPURCHASED PURSUANT TO A REPURCHASE UPON FUNDAMENTAL CHANGE OR REDEMPTION.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Partial Exchanges of Physical Notes and Partial Repurchases of Physical Notes Pursuant to a Repurchase Upon Fundamental Change or Redemption</w:t>
      </w:r>
      <w:r>
        <w:rPr>
          <w:rFonts w:ascii="Times New Roman" w:hAnsi="Times New Roman"/>
          <w:sz w:val="20"/>
        </w:rPr>
        <w:t xml:space="preserve">. If only a portion of a Physical Note of a Holder is to be Exchanged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as soon as reasonably practicable after such Physical Note is surrendered for such Exchange or repurchase, as applicable, the Company will cause such Physical Note to be exchanged, pursuant and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2.10(C)</w:t>
      </w:r>
      <w:r>
        <w:rPr>
          <w:rFonts w:ascii="Times New Roman" w:hAnsi="Times New Roman"/>
          <w:sz w:val="20"/>
        </w:rPr>
        <w:t xml:space="preserve">, for (i) one or more Physical Notes that are in Authorized Denominations and have an aggregate principal amount equal to the principal amount of such Physical Note that is not to be so Exchanged or repurchased, as applicable, and deliver such Physical Note(s) to such Holder; and (ii) a Physical Note having a principal amount equal to the principal amount to be so Exchanged or repurchased, as applicable, which Physical Note will be Exchanged or repurchased, as applicable, pursuant to the terms of this Indenture; provided, however, that the Physical Note referred to in this </w:t>
      </w:r>
      <w:r>
        <w:rPr>
          <w:rFonts w:ascii="Times New Roman" w:hAnsi="Times New Roman"/>
          <w:b/>
          <w:sz w:val="20"/>
        </w:rPr>
        <w:t>clause (ii)</w:t>
      </w:r>
      <w:r>
        <w:rPr>
          <w:rFonts w:ascii="Times New Roman" w:hAnsi="Times New Roman"/>
          <w:sz w:val="20"/>
        </w:rPr>
        <w:t xml:space="preserve"> need not be issued at any time after which such principal amount subject to such Exchange or repurchase, as applicable,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Cancellation of Notes that Are Exchanged and Notes that Are Repurchased Pursuant to a Repurchase Upon Fundamental Change or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Physical Notes</w:t>
      </w:r>
      <w:r>
        <w:rPr>
          <w:rFonts w:ascii="Times New Roman" w:hAnsi="Times New Roman"/>
          <w:sz w:val="20"/>
        </w:rPr>
        <w:t xml:space="preserve">. If a Physical Note (or any portion thereof that has not theretofore been Exchanged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2.11(A)</w:t>
      </w:r>
      <w:r>
        <w:rPr>
          <w:rFonts w:ascii="Times New Roman" w:hAnsi="Times New Roman"/>
          <w:sz w:val="20"/>
        </w:rPr>
        <w:t xml:space="preserve">) of a Holder is to be Exchanged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promptly after the later of the time such Physical Note (or such portion)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and the time such Physical Note is surrendered for such Exchange or repurchase, as applicable, (1) such Physical Note will be cancelled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and (2) in the case of a partial Exchange or repurchase, as applicable, the Company will issue, execute and deliver to such Holder,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Physical Note that is not to be so Exchanged or repurchased, as applicable; (y) are registered in the name of such Holder;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Global Notes</w:t>
      </w:r>
      <w:r>
        <w:rPr>
          <w:rFonts w:ascii="Times New Roman" w:hAnsi="Times New Roman"/>
          <w:sz w:val="20"/>
        </w:rPr>
        <w:t xml:space="preserve">. If a Global Note (or any portion thereof) is to be Exchanged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promptly after the time such Note (or such portion)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the Trustee will reflect a decrease of the principal amount of such Global Note in an amount equal to the principal amount of such Global Note to be so Exchanged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2.12 REPLACEMENT NOTES. </w:t>
      </w:r>
    </w:p>
    <w:p>
      <w:pPr>
        <w:pStyle w:val="TextBody"/>
        <w:bidi w:val="0"/>
        <w:spacing w:before="120" w:after="0"/>
        <w:jc w:val="left"/>
        <w:rPr>
          <w:rFonts w:ascii="Times New Roman" w:hAnsi="Times New Roman"/>
          <w:sz w:val="20"/>
        </w:rPr>
      </w:pPr>
      <w:r>
        <w:rPr>
          <w:rFonts w:ascii="Times New Roman" w:hAnsi="Times New Roman"/>
          <w:sz w:val="20"/>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 The Company may charge for its and the Trustee’s expenses in replacing a Note.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Note issued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will be an additional obligation of the Company and will be entitled to all of the benefits of this Indenture equally and ratably with all other Notes issued under this Indenture, whether or not the lost, destroyed or wrongfully taken Note will at any time be enforceable by anyone.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2.13 REGISTERED HOLDERS; CERTAIN RIGHTS WITH RESPECT TO GLOBAL NOTES. </w:t>
      </w:r>
    </w:p>
    <w:p>
      <w:pPr>
        <w:pStyle w:val="TextBody"/>
        <w:bidi w:val="0"/>
        <w:spacing w:before="120" w:after="0"/>
        <w:jc w:val="left"/>
        <w:rPr>
          <w:rFonts w:ascii="Times New Roman" w:hAnsi="Times New Roman"/>
          <w:sz w:val="20"/>
        </w:rPr>
      </w:pPr>
      <w:r>
        <w:rPr>
          <w:rFonts w:ascii="Times New Roman" w:hAnsi="Times New Roman"/>
          <w:sz w:val="20"/>
        </w:rPr>
        <w:t xml:space="preserve">Except to the extent rights under this Indenture or the Notes are expressly granted to owners of beneficial interests in any Global Note,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Parent Guarantor, the Trustee and the Note Agents, and their respective agents, may treat the Depositary as the absolute owner of such Global Note for all purposes whatsoever;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2.14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any time deliver Notes to the Trustee for cancellation. The Registrar, the Paying Agent and the Exchange Agent will forward to the Trustee each Note duly surrendered to them for transfer, exchange, payment or Exchange. The Trustee, upon receipt of a Company Order, will promptly cancel all Notes so surrendered to it in accordance with its customary procedures.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the Company may not originally issue new Notes to replace Notes that it has paid or that have been cancelled upon transfer, exchange, payment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2.15 NOTES HELD BY THE COMPANY OR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in determining whether the Holders of the required aggregate principal amount of Notes have concurred in any direction, waiver or consent, Notes owned by the Company, the Parent Guarantor or any of their respective Subsidiaries or Affiliates will be deemed not to be 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determining whether the Trustee is protected in relying on any such direction, waiver or consent, only Notes that a Responsible Officer of the Trustee knows are so owned will be so disregarded. Upon the reasonable request of the Trustee, the Company or the Parent Guarantor shall furnish to the Trustee promptly a written notice listing and identifying all Notes, if any, known by the Company and the Parent Guarantor to be owned by any of the Company, the Parent Guarantor or any of their respective Subsidiaries or Affiliates, and the Trustee shall be entitled to accept such written notice as conclusive evidence of the facts therein set forth and of the fact that all Notes not listed therein are outstanding for the purpose of any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2.16 TEMPORARY NOTES.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Notes are ready for delivery, the Company may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definitive Notes in exchange for temporary Notes. Until so exchanged, each temporary Note will in all respects be entitled to the same benefits under this Indenture as definitive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2.17 OUTSTANDING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(ii) assigned a principal amount of zero by notation on the “Schedule of Exchanges of Interests in the Global Note” forming part of any a Global Note representing such Note; (iii) paid in full (including upon Exchange) in accordance with this Indenture; or (iv) deemed to cease to be outstanding to the extent provided in, and subject to, </w:t>
      </w:r>
      <w:r>
        <w:rPr>
          <w:rFonts w:ascii="Times New Roman" w:hAnsi="Times New Roman"/>
          <w:b/>
          <w:sz w:val="20"/>
        </w:rPr>
        <w:t>clause (B)</w:t>
      </w:r>
      <w:r>
        <w:rPr>
          <w:rFonts w:ascii="Times New Roman" w:hAnsi="Times New Roman"/>
          <w:sz w:val="20"/>
        </w:rPr>
        <w:t xml:space="preserve">, </w:t>
      </w:r>
      <w:r>
        <w:rPr>
          <w:rFonts w:ascii="Times New Roman" w:hAnsi="Times New Roman"/>
          <w:b/>
          <w:sz w:val="20"/>
        </w:rPr>
        <w:t>(C)</w:t>
      </w:r>
      <w:r>
        <w:rPr>
          <w:rFonts w:ascii="Times New Roman" w:hAnsi="Times New Roman"/>
          <w:sz w:val="20"/>
        </w:rPr>
        <w:t xml:space="preserve"> or </w:t>
      </w:r>
      <w:r>
        <w:rPr>
          <w:rFonts w:ascii="Times New Roman" w:hAnsi="Times New Roman"/>
          <w:b/>
          <w:sz w:val="20"/>
        </w:rPr>
        <w:t>(D)</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Replaced Notes</w:t>
      </w:r>
      <w:r>
        <w:rPr>
          <w:rFonts w:ascii="Times New Roman" w:hAnsi="Times New Roman"/>
          <w:sz w:val="20"/>
        </w:rPr>
        <w:t xml:space="preserve">. If a Note is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then such Note will cease to be outstanding at the time of its replacement, unless the Trustee and the Company receive proof reasonably satisfactory to them that such Note is held by a “</w:t>
      </w:r>
      <w:r>
        <w:rPr>
          <w:rFonts w:ascii="Times New Roman" w:hAnsi="Times New Roman"/>
          <w:i/>
          <w:sz w:val="20"/>
        </w:rPr>
        <w:t>bona fide</w:t>
      </w:r>
      <w:r>
        <w:rPr>
          <w:rFonts w:ascii="Times New Roman" w:hAnsi="Times New Roman"/>
          <w:sz w:val="20"/>
        </w:rPr>
        <w:t xml:space="preserve"> purchaser”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Maturing Notes and Notes Called for Redemption or Subject to Repurchase</w:t>
      </w:r>
      <w:r>
        <w:rPr>
          <w:rFonts w:ascii="Times New Roman" w:hAnsi="Times New Roman"/>
          <w:sz w:val="20"/>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4.03(E)</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Notes to Be Exchanged</w:t>
      </w:r>
      <w:r>
        <w:rPr>
          <w:rFonts w:ascii="Times New Roman" w:hAnsi="Times New Roman"/>
          <w:sz w:val="20"/>
        </w:rPr>
        <w:t xml:space="preserve">. At the Close of Business on the Exchange Date for any Note (or any portion thereof) to be Exchanged, such Note (or such portion) will (unless there occurs a Default in the delivery of the Exchange Consideration or interest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upon such Exchange) be deemed to cease to be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Cessation of Accrual of Interest</w:t>
      </w:r>
      <w:r>
        <w:rPr>
          <w:rFonts w:ascii="Times New Roman" w:hAnsi="Times New Roman"/>
          <w:sz w:val="20"/>
        </w:rPr>
        <w:t xml:space="preserve">. Except as provided in </w:t>
      </w:r>
      <w:r>
        <w:rPr>
          <w:rFonts w:ascii="Times New Roman" w:hAnsi="Times New Roman"/>
          <w:b/>
          <w:sz w:val="20"/>
        </w:rPr>
        <w:t>Sections 4.02(D)</w:t>
      </w:r>
      <w:r>
        <w:rPr>
          <w:rFonts w:ascii="Times New Roman" w:hAnsi="Times New Roman"/>
          <w:sz w:val="20"/>
        </w:rPr>
        <w:t xml:space="preserve">, </w:t>
      </w:r>
      <w:r>
        <w:rPr>
          <w:rFonts w:ascii="Times New Roman" w:hAnsi="Times New Roman"/>
          <w:b/>
          <w:sz w:val="20"/>
        </w:rPr>
        <w:t>4.03(E)</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interest will cease to accrue on each Note from, and including, the date that such Note is deemed,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to cease to be outstanding, unless there occurs a default in the payment or delivery of any cash or other property due on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2.18 REPURCHASE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subject to applicable law, the Company, the Parent Guarantor or their respective Subsidiaries may, from time to time, repurchase Notes in open market purchases or in negotiated transactions without delivering prior notice to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2.19 CUSIP AND ISIN NUMBERS.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use one or more CUSIP or ISIN numbers to identify any of the Notes, and, if so, the Company and the Trustee will use such CUSIP or ISIN number(s) in notices to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PAYMENT OF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Company will pay or cause to be paid all the principal of, the Fundamental Change Repurchase Price and Redemption Price for, interest on, and other amounts due with respect to, the Notes on the dates and in the manner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Deposit of Funds</w:t>
      </w:r>
      <w:r>
        <w:rPr>
          <w:rFonts w:ascii="Times New Roman" w:hAnsi="Times New Roman"/>
          <w:sz w:val="20"/>
        </w:rPr>
        <w:t xml:space="preserve">. Before 11:00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3.02 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Company will send to the Trustee copies of all reports that the Parent Guarantor is required to file with the SEC pursuant to Section 13(a) or 15(d) of the Exchange Act within fifteen (15) calendar days after the date that the Parent Guarantor is required to file the same (after giving effect to all applicable grace periods under the Exchange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need not send to the Trustee any material for which the Parent Guarantor has received, or is seeking in good faith and has not been denied, confidential treatment by the SEC. Any report that the Parent Guarantor files with the SEC through the EDGAR system (or any successor thereto) will be deemed to be sent to the Trustee at the time such report is so filed via the EDGAR system (or such successor). </w:t>
      </w:r>
    </w:p>
    <w:p>
      <w:pPr>
        <w:pStyle w:val="TextBody"/>
        <w:bidi w:val="0"/>
        <w:spacing w:before="240" w:after="0"/>
        <w:jc w:val="left"/>
        <w:rPr>
          <w:rFonts w:ascii="Times New Roman" w:hAnsi="Times New Roman"/>
          <w:sz w:val="20"/>
        </w:rPr>
      </w:pPr>
      <w:r>
        <w:rPr>
          <w:rFonts w:ascii="Times New Roman" w:hAnsi="Times New Roman"/>
          <w:sz w:val="20"/>
        </w:rPr>
        <w:t xml:space="preserve">The “grace periods” referred to in the preceding paragraph with respect to any report will include the maximum period afforded by Rule 12b-25 (or any successor rule thereto) under the Exchange Act regardless of whether the Parent Guarantor files, or indicates in the related Form 12b-25 (or any successor form thereto) that Parent Guarantor expects to or will file, such report before the expiration of such maximum period. For the avoidance of doubt, if the Parent Guarantor fails to file with the SEC any report pursuant to Section 13(a) or 15(d) of the Exchange Act on or before the date that the Parent Guarantor is required to file the same (after giving effect to all applicable grace periods under the Exchange Act), then such failure will not constitute a Default with respect to the covenant set forth in this Section 3.02(A) at any time before the lapsing of the fifteen (15) calendar days referred to in the first sentence of this Section 3.02(A).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Trustee’s Disclaimer</w:t>
      </w:r>
      <w:r>
        <w:rPr>
          <w:rFonts w:ascii="Times New Roman" w:hAnsi="Times New Roman"/>
          <w:sz w:val="20"/>
        </w:rPr>
        <w:t xml:space="preserve">. The Trustee need not determine whether the Company has filed any material via the EDGAR system (or such successor). The sending or filing of reports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is for informational purposes only and will not be deemed to constitute actual or constructive notice to, or knowledge of, the Trustee of any information contained, or determinable from information contained, therein, including the Company’s compliance with any of its covenants under this Indenture (as to which the Trustee is entitled to conclusively rely on an Officer’s Certificate).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3.03 RULE 144A INFORMATION.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when any Notes or shares of Common Stock deliverable upon Exchange of the Notes are outstanding and constitute “restricted securities” (as defined in Rule 144), then the Company and the Parent Guarantor (or the Company’s or the Parent Guarantor’s successors, as applicable)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but only to the extent the same is required for such Notes or shares to be eligible for resale pursuant to Rule 144A.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3.04 ADDITIONAL INTEREST.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Accrual of Additional Interest</w:t>
      </w:r>
      <w:r>
        <w:rPr>
          <w:rFonts w:ascii="Times New Roman" w:hAnsi="Times New Roman"/>
          <w:sz w:val="20"/>
        </w:rPr>
        <w:t xml:space="preserve">. Additional Interest, if any, will accrue on any Note on each day, and in the circumstances, set forth in the Registration Rights Agreement, if any, relating to such Note. For the avoidance of doubt, no Additional Interest will accrue on any Notes issued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and with respect to which no Registration Rights Agreement has been executed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Amount and Payment of Additional Interest</w:t>
      </w:r>
      <w:r>
        <w:rPr>
          <w:rFonts w:ascii="Times New Roman" w:hAnsi="Times New Roman"/>
          <w:sz w:val="20"/>
        </w:rPr>
        <w:t xml:space="preserve">. Any Additional Interest that accrues on a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3.04(A)</w:t>
      </w:r>
      <w:r>
        <w:rPr>
          <w:rFonts w:ascii="Times New Roman" w:hAnsi="Times New Roman"/>
          <w:sz w:val="20"/>
        </w:rPr>
        <w:t xml:space="preserve"> will be payable on the same dates and in the same manner as the Stated Interest on such Note and will accrue at a rate per annum equal to one quarter of one percent (0.25%) of the principal amount thereof for the first ninety (90) days on which Additional Interest accrues and, thereafter, at a rate per annum equal to one half of one percent (0.50%) of the principal amount thereof, regardless of the number of events giving rise to such accrual;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Additional Interest, together with any Special Interest,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Accrual of Additional Interest; Trustee’s Disclaimer</w:t>
      </w:r>
      <w:r>
        <w:rPr>
          <w:rFonts w:ascii="Times New Roman" w:hAnsi="Times New Roman"/>
          <w:sz w:val="20"/>
        </w:rPr>
        <w:t xml:space="preserve">. The Company will send notice to the Holder of each Note (or, in the case of Additional Interest accruing on a portion (and not the entire principal amount) of any outstanding Global Note in accordance with the Registration Rights Agreement for such Global Note, to the applicable beneficial holder(s) of such Global Note (as identified in the related Notice and Questionnaire(s))), and to the 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 and shall be entitled to conclusively rely on the Officer’s Certificate referred to in the immediately preceding sentence.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3.05 MATURITY PREMIUM.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If (i) a Note is Exchanged with an Exchange Date that occurs after May 15, 2031; (ii) a Cash Percentage of less than 100% applies to such Exchange; (iii) the Exchange Consideration for such Exchange includes any whole shares of Common Stock; and (iv) a Registration Default Event occurs or is continuing with respect to such share(s) of Common Stock at any time during the period after August 1, 2031 and on or before the Maturity Date (or, if the Maturity Date is not a Business Day, the next Business Day), then the interest payment due on such Note in respect of the Interest Payment Date occurring on the Maturity Date will be increased by a cash amount (such cash amount, the “</w:t>
      </w:r>
      <w:r>
        <w:rPr>
          <w:rFonts w:ascii="Times New Roman" w:hAnsi="Times New Roman"/>
          <w:b/>
          <w:sz w:val="20"/>
        </w:rPr>
        <w:t>Maturity Premium</w:t>
      </w:r>
      <w:r>
        <w:rPr>
          <w:rFonts w:ascii="Times New Roman" w:hAnsi="Times New Roman"/>
          <w:sz w:val="20"/>
        </w:rPr>
        <w:t xml:space="preserve">”) equal to three percent (3%) of the principal amount of such Note. For the avoidance of doubt, (i) the Maturity Premium, if any, will be payable in the same manner as the interest payment due in respect of the Interest Payment Date occurring on the Maturity Date; and (ii) accordingly, if a Maturity Premium is payable with respect to any Note, then,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the Holder of such Note as of the Close of Business on the Regular Record Date immediately before the Maturity Date will receive such Maturity Premium regardless of whether such Notes have been Exchanged after such Regular Record Date. Notwithstanding anything to the contrary in this Indenture or the Notes, if the payment, in the manner set forth above, of the Maturity Premium on a Global Note (or a portion thereof) that is Exchanged is not permitted or practicable under the Depositary Procedures, then the Company will instead pay the Maturity Premium as part of the Exchange Consideration due upon such Exchange.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Maturity Premium; Trustee’s Disclaimer</w:t>
      </w:r>
      <w:r>
        <w:rPr>
          <w:rFonts w:ascii="Times New Roman" w:hAnsi="Times New Roman"/>
          <w:sz w:val="20"/>
        </w:rPr>
        <w:t xml:space="preserve">. The Company will promptly send notice to the Holder of each Note, and to the Trustee, of the occurrence of any event obligating the Company to pay a Maturity Premium on such Note. The Trustee will have no duty to determine whether a Registration Default Event has occurred or is continuing or whether any Maturity Premium is payable or the amount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3.06 COMPLIANCE AND DEFAULT CERTIFICATES.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Annual Compliance Certificate</w:t>
      </w:r>
      <w:r>
        <w:rPr>
          <w:rFonts w:ascii="Times New Roman" w:hAnsi="Times New Roman"/>
          <w:sz w:val="20"/>
        </w:rPr>
        <w:t xml:space="preserve">. Within one hundred twenty (120) days after the last day of each fiscal year of the Parent Guarantor, beginning with the first 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 Certificate</w:t>
      </w:r>
      <w:r>
        <w:rPr>
          <w:rFonts w:ascii="Times New Roman" w:hAnsi="Times New Roman"/>
          <w:sz w:val="20"/>
        </w:rPr>
        <w:t xml:space="preserve">. If a Default or Event of Default occurs, then the Company will, within thirty (30) days after its first occurrence, unless such Default or Event of Default is cured or waived as of such time, deliver an Officer’s Certificate to the Trustee describing the same and what action the Company is taking or proposes to take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3.07 STAY, EXTENSION AND USURY LAWS.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3.08 ACQUISITION OF NOTES BY THE COMPANY, THE PARENT GUARANTOR AND THEIR RESPECTIVE AFFILIATES.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Notes that the Company, the Parent Guarantor or any of their respective Subsidiaries have purchased or otherwise acquired will be deemed to remain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until such time as such Notes are delivered to the Trustee for cancellation. The Company will use commercially reasonable efforts to prevent any of its controlled Affiliates from acquiring any Note (or any beneficial interest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REPURCHASE AND 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NO SINKING FUND. </w:t>
      </w:r>
    </w:p>
    <w:p>
      <w:pPr>
        <w:pStyle w:val="TextBody"/>
        <w:bidi w:val="0"/>
        <w:spacing w:before="120" w:after="0"/>
        <w:jc w:val="left"/>
        <w:rPr>
          <w:rFonts w:ascii="Times New Roman" w:hAnsi="Times New Roman"/>
          <w:sz w:val="20"/>
        </w:rPr>
      </w:pPr>
      <w:r>
        <w:rPr>
          <w:rFonts w:ascii="Times New Roman" w:hAnsi="Times New Roman"/>
          <w:sz w:val="20"/>
        </w:rPr>
        <w:t xml:space="preserve">No sinking fund is required to be provided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4.02 RIGHT OF HOLDERS TO REQUIRE THE COMPANY TO REPURCHASE NOTES UPON A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Right of Holders to Require the Company to Repurchase Notes Upon a Fundamental Change</w:t>
      </w:r>
      <w:r>
        <w:rPr>
          <w:rFonts w:ascii="Times New Roman" w:hAnsi="Times New Roman"/>
          <w:sz w:val="20"/>
        </w:rPr>
        <w:t xml:space="preserve">. Subject to the other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if a Fundamental Change occurs, then each Holder will have the right (the “</w:t>
      </w:r>
      <w:r>
        <w:rPr>
          <w:rFonts w:ascii="Times New Roman" w:hAnsi="Times New Roman"/>
          <w:b/>
          <w:sz w:val="20"/>
        </w:rPr>
        <w:t>Fundamental Change Repurchase Right</w:t>
      </w:r>
      <w:r>
        <w:rPr>
          <w:rFonts w:ascii="Times New Roman" w:hAnsi="Times New Roman"/>
          <w:sz w:val="20"/>
        </w:rPr>
        <w:t xml:space="preserve">”) to require the Company to repurchase such Holder’s Notes (or any portion thereof in an Authorized Denomination) on the Fundamental Change Repurchase Date for such Fundamental Change for a cash purchase price equal to the Fundamental Change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Repurchase Prohibited in Certain Circumstances</w:t>
      </w:r>
      <w:r>
        <w:rPr>
          <w:rFonts w:ascii="Times New Roman" w:hAnsi="Times New Roman"/>
          <w:sz w:val="20"/>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on such Fundamental Change Repurchase Date), then (i) the Company may not repurchase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Fundamental Change Repurchase Date</w:t>
      </w:r>
      <w:r>
        <w:rPr>
          <w:rFonts w:ascii="Times New Roman" w:hAnsi="Times New Roman"/>
          <w:sz w:val="20"/>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Fundamental Change Repurchase Price</w:t>
      </w:r>
      <w:r>
        <w:rPr>
          <w:rFonts w:ascii="Times New Roman" w:hAnsi="Times New Roman"/>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on the next Business Day to Holders as of the Close of Business on the immediately preceding Regular Record Date; and (y) the Fundamental Change Repurchase Price will include interest on Notes to be repurchased from, and including,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Fundamental Change Notice</w:t>
      </w:r>
      <w:r>
        <w:rPr>
          <w:rFonts w:ascii="Times New Roman" w:hAnsi="Times New Roman"/>
          <w:sz w:val="20"/>
        </w:rPr>
        <w:t>. On or before the twentieth (20th) calendar day after the effective date of a Fundamental Change, the Company will send to each Holder, the Trustee, the Exchange Agent and the Paying Agent a notice of such Fundamental Change (a “</w:t>
      </w:r>
      <w:r>
        <w:rPr>
          <w:rFonts w:ascii="Times New Roman" w:hAnsi="Times New Roman"/>
          <w:b/>
          <w:sz w:val="20"/>
        </w:rPr>
        <w:t>Fundamental Change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Fundamental Change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briefly, the events causing such Fundamental Change; </w:t>
      </w:r>
    </w:p>
    <w:p>
      <w:pPr>
        <w:pStyle w:val="TextBody"/>
        <w:bidi w:val="0"/>
        <w:spacing w:before="240" w:after="0"/>
        <w:jc w:val="left"/>
        <w:rPr>
          <w:rFonts w:ascii="Times New Roman" w:hAnsi="Times New Roman"/>
          <w:sz w:val="20"/>
        </w:rPr>
      </w:pPr>
      <w:r>
        <w:rPr>
          <w:rFonts w:ascii="Times New Roman" w:hAnsi="Times New Roman"/>
          <w:sz w:val="20"/>
        </w:rPr>
        <w:t xml:space="preserve">(ii) the effective date of such Fundamental Change; </w:t>
      </w:r>
    </w:p>
    <w:p>
      <w:pPr>
        <w:pStyle w:val="TextBody"/>
        <w:bidi w:val="0"/>
        <w:spacing w:before="240" w:after="0"/>
        <w:jc w:val="left"/>
        <w:rPr>
          <w:rFonts w:ascii="Times New Roman" w:hAnsi="Times New Roman"/>
          <w:sz w:val="20"/>
        </w:rPr>
      </w:pPr>
      <w:r>
        <w:rPr>
          <w:rFonts w:ascii="Times New Roman" w:hAnsi="Times New Roman"/>
          <w:sz w:val="20"/>
        </w:rPr>
        <w:t xml:space="preserve">(iii) the procedures that a Holder must follow to require the Company to repurchase its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including the deadline for exercising the Fundamental Change Repurchase Right and the procedures for submitting and withdrawing a Fundamental Change Repurchase Notice; </w:t>
      </w:r>
    </w:p>
    <w:p>
      <w:pPr>
        <w:pStyle w:val="TextBody"/>
        <w:bidi w:val="0"/>
        <w:spacing w:before="240" w:after="0"/>
        <w:jc w:val="left"/>
        <w:rPr>
          <w:rFonts w:ascii="Times New Roman" w:hAnsi="Times New Roman"/>
          <w:sz w:val="20"/>
        </w:rPr>
      </w:pPr>
      <w:r>
        <w:rPr>
          <w:rFonts w:ascii="Times New Roman" w:hAnsi="Times New Roman"/>
          <w:sz w:val="20"/>
        </w:rPr>
        <w:t xml:space="preserve">(iv) the Fundamental Change Repurchase Date for such Fundamental Change; </w:t>
      </w:r>
    </w:p>
    <w:p>
      <w:pPr>
        <w:pStyle w:val="TextBody"/>
        <w:bidi w:val="0"/>
        <w:spacing w:before="240" w:after="0"/>
        <w:jc w:val="left"/>
        <w:rPr>
          <w:rFonts w:ascii="Times New Roman" w:hAnsi="Times New Roman"/>
          <w:sz w:val="20"/>
        </w:rPr>
      </w:pPr>
      <w:r>
        <w:rPr>
          <w:rFonts w:ascii="Times New Roman" w:hAnsi="Times New Roman"/>
          <w:sz w:val="20"/>
        </w:rPr>
        <w:t xml:space="preserve">(v)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 the name and address of the Paying Agent and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(vii) the Exchange Rate in effect on the date of such Fundamental Change Notice and a description and quantification of any adjustments to the Exchange Rate that may result from such Fundamental Change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that Notes for which a Fundamental Change Repurchase Notice has been duly tendered and not duly withdrawn must be delivered to the Paying Agent for the Holder thereof to be entitled to receive the Fundamental Change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(ix) that Notes (or any portion thereof) that are subject to a Fundamental Change Repurchase Notice that has been duly tendered may be Exchanged only if such Fundamental Change Repurchase Notice is withdrawn in accordance with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(x) the CUSIP and ISIN numbers, if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date the Fundamental Change Repurchase Notice is to be sent (or, if the Company requests that the Trustee sends the Fundamental Change Repurchase Notice, no later than five (5) days before the Fundamental Change Repurchase Notice is to be sent (or such shorter period as shall be acceptable to the Trustee)), the Company will send a copy of such Fundamental Change Repurchase Notice to the Trustee, the Exchange Agent and the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failure to deliver a Fundamental Change Notice nor any defect in a Fundamental Change Notice will limit the Fundamental Change Repurchase Right of any Holder or otherwise affect the validity of any proceedings relating to any Repurchase Upon Fundamental Change.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Procedures to Exercise the Fundamental Change Repurchase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Delivery of Fundamental Change Repurchase Notice and Notes to Be Repurchased</w:t>
      </w:r>
      <w:r>
        <w:rPr>
          <w:rFonts w:ascii="Times New Roman" w:hAnsi="Times New Roman"/>
          <w:sz w:val="20"/>
        </w:rPr>
        <w:t xml:space="preserve">. To exercise its Fundamental Change Repurchase Right for a Note following a Fundamental Change, the Holder thereof must deliver to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(1) before the Close of Business on the Business Day immediately before the related Fundamental Change Repurchase Date (or such later time as may be required by law), a duly completed, written Fundamental Change Repurchase Notice with respect to such Note; and </w:t>
      </w:r>
    </w:p>
    <w:p>
      <w:pPr>
        <w:pStyle w:val="TextBody"/>
        <w:bidi w:val="0"/>
        <w:spacing w:before="240" w:after="0"/>
        <w:jc w:val="left"/>
        <w:rPr>
          <w:rFonts w:ascii="Times New Roman" w:hAnsi="Times New Roman"/>
          <w:sz w:val="20"/>
        </w:rPr>
      </w:pPr>
      <w:r>
        <w:rPr>
          <w:rFonts w:ascii="Times New Roman" w:hAnsi="Times New Roman"/>
          <w:sz w:val="20"/>
        </w:rPr>
        <w:t xml:space="preserve">(2) such Note, duly endorsed for transfer (if such Note is a Physical Note) or by book-entry transfer (if such Note is a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deliver to the Company a copy of each Fundamental Change Repurchase Notice that it receives.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Contents of Fundamental Change Repurchase Notices</w:t>
      </w:r>
      <w:r>
        <w:rPr>
          <w:rFonts w:ascii="Times New Roman" w:hAnsi="Times New Roman"/>
          <w:sz w:val="20"/>
        </w:rPr>
        <w:t xml:space="preserve">. Each Fundamental Change Repurchase Notice with respect to a Note must state: </w:t>
      </w:r>
    </w:p>
    <w:p>
      <w:pPr>
        <w:pStyle w:val="TextBody"/>
        <w:bidi w:val="0"/>
        <w:spacing w:before="120" w:after="0"/>
        <w:jc w:val="left"/>
        <w:rPr>
          <w:rFonts w:ascii="Times New Roman" w:hAnsi="Times New Roman"/>
          <w:sz w:val="20"/>
        </w:rPr>
      </w:pPr>
      <w:r>
        <w:rPr>
          <w:rFonts w:ascii="Times New Roman" w:hAnsi="Times New Roman"/>
          <w:sz w:val="20"/>
        </w:rPr>
        <w:t xml:space="preserve">(1) if such Note is a Physical Note, the certificate number of such Note; </w:t>
      </w:r>
    </w:p>
    <w:p>
      <w:pPr>
        <w:pStyle w:val="TextBody"/>
        <w:bidi w:val="0"/>
        <w:spacing w:before="240" w:after="0"/>
        <w:jc w:val="left"/>
        <w:rPr>
          <w:rFonts w:ascii="Times New Roman" w:hAnsi="Times New Roman"/>
          <w:sz w:val="20"/>
        </w:rPr>
      </w:pPr>
      <w:r>
        <w:rPr>
          <w:rFonts w:ascii="Times New Roman" w:hAnsi="Times New Roman"/>
          <w:sz w:val="20"/>
        </w:rPr>
        <w:t xml:space="preserve">(2) the principal amount of such Note to be repurchased, which must be an Authorized Denomination; and </w:t>
      </w:r>
    </w:p>
    <w:p>
      <w:pPr>
        <w:pStyle w:val="TextBody"/>
        <w:bidi w:val="0"/>
        <w:spacing w:before="240" w:after="0"/>
        <w:jc w:val="left"/>
        <w:rPr>
          <w:rFonts w:ascii="Times New Roman" w:hAnsi="Times New Roman"/>
          <w:sz w:val="20"/>
        </w:rPr>
      </w:pPr>
      <w:r>
        <w:rPr>
          <w:rFonts w:ascii="Times New Roman" w:hAnsi="Times New Roman"/>
          <w:sz w:val="20"/>
        </w:rPr>
        <w:t xml:space="preserve">(3) that such Holder is exercising its Fundamental Change Repurchase Right with respect to such principal amount of such Note;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Withdrawal of Fundamental Change Repurchase Notice</w:t>
      </w:r>
      <w:r>
        <w:rPr>
          <w:rFonts w:ascii="Times New Roman" w:hAnsi="Times New Roman"/>
          <w:sz w:val="20"/>
        </w:rPr>
        <w:t xml:space="preserve">.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(1) if such Note is a Physical Note, the certificate number of such Note; </w:t>
      </w:r>
    </w:p>
    <w:p>
      <w:pPr>
        <w:pStyle w:val="TextBody"/>
        <w:bidi w:val="0"/>
        <w:spacing w:before="240" w:after="0"/>
        <w:jc w:val="left"/>
        <w:rPr>
          <w:rFonts w:ascii="Times New Roman" w:hAnsi="Times New Roman"/>
          <w:sz w:val="20"/>
        </w:rPr>
      </w:pPr>
      <w:r>
        <w:rPr>
          <w:rFonts w:ascii="Times New Roman" w:hAnsi="Times New Roman"/>
          <w:sz w:val="20"/>
        </w:rPr>
        <w:t xml:space="preserve">(2) the principal amount of such Note to be withdrawn, which must be an Authorized Denomination; and </w:t>
      </w:r>
    </w:p>
    <w:p>
      <w:pPr>
        <w:pStyle w:val="TextBody"/>
        <w:bidi w:val="0"/>
        <w:spacing w:before="240" w:after="0"/>
        <w:jc w:val="left"/>
        <w:rPr>
          <w:rFonts w:ascii="Times New Roman" w:hAnsi="Times New Roman"/>
          <w:sz w:val="20"/>
        </w:rPr>
      </w:pPr>
      <w:r>
        <w:rPr>
          <w:rFonts w:ascii="Times New Roman" w:hAnsi="Times New Roman"/>
          <w:sz w:val="20"/>
        </w:rPr>
        <w:t xml:space="preserve">(3) the principal amount of such Note, if any, that remains subject to such Fundamental Change Repurchase Notice, which must be an Authorized Denomination;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Payment of the Fundamental Change Repurchase Price</w:t>
      </w:r>
      <w:r>
        <w:rPr>
          <w:rFonts w:ascii="Times New Roman" w:hAnsi="Times New Roman"/>
          <w:sz w:val="20"/>
        </w:rPr>
        <w:t xml:space="preserve">. Without limiting the Company’s obligation to deposit the Fundamental Change Repurchase Price within the time proscribed by </w:t>
      </w:r>
      <w:r>
        <w:rPr>
          <w:rFonts w:ascii="Times New Roman" w:hAnsi="Times New Roman"/>
          <w:b/>
          <w:sz w:val="20"/>
        </w:rPr>
        <w:t>Section</w:t>
      </w:r>
      <w:r>
        <w:rPr>
          <w:rFonts w:ascii="Times New Roman" w:hAnsi="Times New Roman"/>
          <w:sz w:val="20"/>
        </w:rPr>
        <w:t> </w:t>
      </w:r>
      <w:r>
        <w:rPr>
          <w:rFonts w:ascii="Times New Roman" w:hAnsi="Times New Roman"/>
          <w:b/>
          <w:sz w:val="20"/>
        </w:rPr>
        <w:t>3.01(B)</w:t>
      </w:r>
      <w:r>
        <w:rPr>
          <w:rFonts w:ascii="Times New Roman" w:hAnsi="Times New Roman"/>
          <w:sz w:val="20"/>
        </w:rPr>
        <w:t xml:space="preserve">, the Company will cause the Fundamental Change Repurchase Price for a Note (or portion thereof) to be repurchased pursuant to a Repurchase Upon Fundamental Change to be paid to the Holder thereof on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4.02(G)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Third Party May Conduct Repurchase Offer In Lieu of the Company</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the Company will be deemed to satisfy its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if (i) one or more third parties conduct any Repurchase Upon Fundamental Change and related offer to repurchase Notes otherwise required by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 a manner that would have satisfied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if conducted directly by the Company; and (ii) an owner of a beneficial interest in any Note repurchased by such third party or parties will not receive a lesser amount (as a result of withholding or other similar taxes) than such owner would have received had the Company repurchased such Note.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Requirement to Conduct an Offer to Repurchase Notes if the Fundamental Change Results in the Notes Becoming Exchangeable into an Amount of Cash Exceeding the Fundamental Change Repurchase Price</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the Company will not be required to send a Fundamental Change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4.02(E)</w:t>
      </w:r>
      <w:r>
        <w:rPr>
          <w:rFonts w:ascii="Times New Roman" w:hAnsi="Times New Roman"/>
          <w:sz w:val="20"/>
        </w:rPr>
        <w:t xml:space="preserve">, or offer to repurchase or repurchase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 connection with a Common Stock Change Event that constitutes a Fundamental Change pursuant to </w:t>
      </w:r>
      <w:r>
        <w:rPr>
          <w:rFonts w:ascii="Times New Roman" w:hAnsi="Times New Roman"/>
          <w:b/>
          <w:sz w:val="20"/>
        </w:rPr>
        <w:t>clause (B)(ii)</w:t>
      </w:r>
      <w:r>
        <w:rPr>
          <w:rFonts w:ascii="Times New Roman" w:hAnsi="Times New Roman"/>
          <w:sz w:val="20"/>
        </w:rPr>
        <w:t xml:space="preserve"> of the definition thereof (regardless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Exchangeable,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5.09(A)</w:t>
      </w:r>
      <w:r>
        <w:rPr>
          <w:rFonts w:ascii="Times New Roman" w:hAnsi="Times New Roman"/>
          <w:sz w:val="20"/>
        </w:rPr>
        <w:t xml:space="preserve"> and, if applicable,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accrued and unpaid interest to, but excluding, the latest possible Fundamental Change Repurchase Date for such Fundamental Change); and (iii) the Company timely sends the notice relating to such Fundamental Change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and includes, in such notice, a statement that the Company is relying on this </w:t>
      </w:r>
      <w:r>
        <w:rPr>
          <w:rFonts w:ascii="Times New Roman" w:hAnsi="Times New Roman"/>
          <w:b/>
          <w:sz w:val="20"/>
        </w:rPr>
        <w:t>Section</w:t>
      </w:r>
      <w:r>
        <w:rPr>
          <w:rFonts w:ascii="Times New Roman" w:hAnsi="Times New Roman"/>
          <w:sz w:val="20"/>
        </w:rPr>
        <w:t> </w:t>
      </w:r>
      <w:r>
        <w:rPr>
          <w:rFonts w:ascii="Times New Roman" w:hAnsi="Times New Roman"/>
          <w:b/>
          <w:sz w:val="20"/>
        </w:rPr>
        <w:t>4.02(I)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Compliance with Applicable Securities Laws</w:t>
      </w:r>
      <w:r>
        <w:rPr>
          <w:rFonts w:ascii="Times New Roman" w:hAnsi="Times New Roman"/>
          <w:sz w:val="20"/>
        </w:rPr>
        <w:t xml:space="preserve">. To the extent applicable, the Company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the Company’s obligations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conflict with any law or regulation that is applicable to the Company and enacted after the Issue Date, the Company’s compliance with such law or regulation will not be considered to be a Default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Repurchase in Part</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Notes may be repurchased pursuant to a Repurchase Upon Fundamental Change in part, but only in Authorized Denominations.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applying to the repurchase of a Note in whole will equally apply to the repurchase of a permitted portion of a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4.03 RIGHT OF THE COMPANY TO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Right to Redeem to Preserve Parent Guarantor’s Status as a REIT for U.S. federal income tax purposes.</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the Company has the right, at its election, to redeem all, or any portion in an Authorized Denomination, of the Notes, at any time, and from time to time, on a Redemption Date for a cash purchase price equal to the Redemption Price if Parent Guarantor’s Board of Directors determines that such Redemption is necessary to preserve the Parent Guarantor’s status as a real estate investment trust for U.S. federal income tax purposes. For the avoidance of doubt, the calling of any Notes for Redemption will constitute a Make-Whole Fundamental Change with respect to such Notes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 to Redeem the Notes on or After August</w:t>
      </w:r>
      <w:r>
        <w:rPr>
          <w:rFonts w:ascii="Times New Roman" w:hAnsi="Times New Roman"/>
          <w:sz w:val="20"/>
        </w:rPr>
        <w:t> </w:t>
      </w:r>
      <w:r>
        <w:rPr>
          <w:rFonts w:ascii="Times New Roman" w:hAnsi="Times New Roman"/>
          <w:i/>
          <w:sz w:val="20"/>
        </w:rPr>
        <w:t>20, 2029</w:t>
      </w:r>
      <w:r>
        <w:rPr>
          <w:rFonts w:ascii="Times New Roman" w:hAnsi="Times New Roman"/>
          <w:sz w:val="20"/>
        </w:rPr>
        <w:t xml:space="preserve">. Other than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4.03(A)</w:t>
      </w:r>
      <w:r>
        <w:rPr>
          <w:rFonts w:ascii="Times New Roman" w:hAnsi="Times New Roman"/>
          <w:sz w:val="20"/>
        </w:rPr>
        <w:t xml:space="preserve">, the Company may not redeem the Notes at its option at any time before August 20, 2029.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the Company has the right, at its election, to redeem all, or any portion in an Authorized Denomination, of the Notes, at any time, and from time to time, on a Redemption Date on or after August 20, 2029 and on or before the forty-first (41st) Scheduled Trading Day immediately before the Maturity Date, for a cash purchase price equal to the Redemption Price, but only if (i) the Last Reported Sale Price per share of Common Stock exceeds one hundred and thirty percent (130%) of the Exchange Price on (x) each of at least twenty (20) Trading Days (whether or not consecutive) during the thirty (30) consecutive Trading Days ending on, and including, the Trading Day immediately before the Redemption Notice Date for such Redemption; and (y) the Trading Day immediately before such Redemption Notice Date; and (ii) the Liquidity Conditions have been satisfied;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entitled to call less than all of the outstanding Notes for Redemption unless the excess of (i) the principal amount of Notes outstanding as of the time the Company sends the related Redemption Notice (excluding any Notes that have been called for redemption pursuant to a prior Redemption Notice) over (ii) the aggregate principal amount of Notes set forth in such Redemption Notice as being subject to such Redemption is at least one hundred million dollars ($100,000,000). For the avoidance of doubt, the calling of any Notes for Redemption will constitute a Make-Whole Fundamental Change with respect to such Notes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Redemption Prohibited in Certain Circumstances</w:t>
      </w:r>
      <w:r>
        <w:rPr>
          <w:rFonts w:ascii="Times New Roman" w:hAnsi="Times New Roman"/>
          <w:sz w:val="20"/>
        </w:rPr>
        <w:t xml:space="preserve">. If the principal amount of the Notes has been accelerated and such acceleration has not been rescinded on or before the Redemption Date (including as a result of the payment of the related Redemption Price, and any related interest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4.03(E)</w:t>
      </w:r>
      <w:r>
        <w:rPr>
          <w:rFonts w:ascii="Times New Roman" w:hAnsi="Times New Roman"/>
          <w:sz w:val="20"/>
        </w:rPr>
        <w:t xml:space="preserve">, on such Redemption Date), then (i) the Company may not call for Redemption or otherwise redeem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Redemption Date</w:t>
      </w:r>
      <w:r>
        <w:rPr>
          <w:rFonts w:ascii="Times New Roman" w:hAnsi="Times New Roman"/>
          <w:sz w:val="20"/>
        </w:rPr>
        <w:t xml:space="preserve">. The Redemption Date for any Redemption will be a Business Day of the Company’s choosing that is no more than sixty-five (65), nor less than forty-five (45), Scheduled Trading Days after the Redemption Notice Date for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Redemption Price</w:t>
      </w:r>
      <w:r>
        <w:rPr>
          <w:rFonts w:ascii="Times New Roman" w:hAnsi="Times New Roman"/>
          <w:sz w:val="20"/>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on the next Business Day to Holders as of the Close of Business on the immediately preceding Regular Record Date; and (y) the Redemption Price will include interest on Notes to be redeemed from, and including,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Redemption Notice</w:t>
      </w:r>
      <w:r>
        <w:rPr>
          <w:rFonts w:ascii="Times New Roman" w:hAnsi="Times New Roman"/>
          <w:sz w:val="20"/>
        </w:rPr>
        <w:t>. To call any Notes for Redemption, the Company must send to each Holder of such Notes a written notice of such Redemption (a “</w:t>
      </w:r>
      <w:r>
        <w:rPr>
          <w:rFonts w:ascii="Times New Roman" w:hAnsi="Times New Roman"/>
          <w:b/>
          <w:sz w:val="20"/>
        </w:rPr>
        <w:t>Redemption Notice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Redemption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that such Notes have been called for Redemption, briefly describing the Company’s Redemption right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(ii) the Redemption Date for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the name and address of the Paying Agent and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(v) that Notes called for Redemption may be Exchanged at any time before the Close of Business on the second (2nd) Business Day immediately before the Redemption Date (or, if the Company fails to pay the Redemption Price due on such Redemption Date in full, at any time until such time as the Company pays such Redemption Price in full); </w:t>
      </w:r>
    </w:p>
    <w:p>
      <w:pPr>
        <w:pStyle w:val="TextBody"/>
        <w:bidi w:val="0"/>
        <w:spacing w:before="240" w:after="0"/>
        <w:jc w:val="left"/>
        <w:rPr>
          <w:rFonts w:ascii="Times New Roman" w:hAnsi="Times New Roman"/>
          <w:sz w:val="20"/>
        </w:rPr>
      </w:pPr>
      <w:r>
        <w:rPr>
          <w:rFonts w:ascii="Times New Roman" w:hAnsi="Times New Roman"/>
          <w:sz w:val="20"/>
        </w:rPr>
        <w:t xml:space="preserve">(vi) the Exchange Rate in effect on the Redemption Notice Date for such Redemption and a description and quantification of any adjustments to the Exchange Rate that may result from such Redemption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the Settlement Method that will apply to all Exchanges of Notes with an Exchange Date that occurs on or after such Redemption Notice Date and on or before the second (2nd) Business Day before such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(viii) the CUSIP and ISIN numbers, if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Redemption Notice Date (or, if the Company requests that the Trustee sends the Redemption Notice, no later than five (5) days before the Redemption Notice is to be sent (or such shorter period as shall be acceptable to the Trustee)), the Company will send a copy of such Redemption Notice to the Trustee, the Exchange Agent and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Selection and Exchange of Notes to Be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(ii) If only a portion of a Note is subject to Redemption and such Note is Exchanged in part, then the Exchanged portion of such Note will be deemed to be from the portion of such Note that was subject to Redemption.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Payment of the Redemption Price</w:t>
      </w:r>
      <w:r>
        <w:rPr>
          <w:rFonts w:ascii="Times New Roman" w:hAnsi="Times New Roman"/>
          <w:sz w:val="20"/>
        </w:rPr>
        <w:t xml:space="preserve">. Without limiting the Company’s obligation to deposit the Redemption Price by the time proscribed by </w:t>
      </w:r>
      <w:r>
        <w:rPr>
          <w:rFonts w:ascii="Times New Roman" w:hAnsi="Times New Roman"/>
          <w:b/>
          <w:sz w:val="20"/>
        </w:rPr>
        <w:t>Section</w:t>
      </w:r>
      <w:r>
        <w:rPr>
          <w:rFonts w:ascii="Times New Roman" w:hAnsi="Times New Roman"/>
          <w:sz w:val="20"/>
        </w:rPr>
        <w:t> </w:t>
      </w:r>
      <w:r>
        <w:rPr>
          <w:rFonts w:ascii="Times New Roman" w:hAnsi="Times New Roman"/>
          <w:b/>
          <w:sz w:val="20"/>
        </w:rPr>
        <w:t>3.01(B)</w:t>
      </w:r>
      <w:r>
        <w:rPr>
          <w:rFonts w:ascii="Times New Roman" w:hAnsi="Times New Roman"/>
          <w:sz w:val="20"/>
        </w:rPr>
        <w:t xml:space="preserve">, the Company will cause the Redemption Price for a Note (or portion thereof) subject to Redemption to be paid to the Holder thereof on the applicable Redemption Date. For the avoidance of doubt, interest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4.03(E)</w:t>
      </w:r>
      <w:r>
        <w:rPr>
          <w:rFonts w:ascii="Times New Roman" w:hAnsi="Times New Roman"/>
          <w:sz w:val="20"/>
        </w:rPr>
        <w:t xml:space="preserve"> on any Note (or portion thereof) subject to Redemption must be paid pursuant to such proviso.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Special Provisions for Partial Calls</w:t>
      </w:r>
      <w:r>
        <w:rPr>
          <w:rFonts w:ascii="Times New Roman" w:hAnsi="Times New Roman"/>
          <w:sz w:val="20"/>
        </w:rPr>
        <w:t xml:space="preserve">. If the Company elects to redeem less than all of the outstanding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the Holder of any Note, or any owner of a beneficial interest in any Global Note, is reasonably not able to determine, before the Close of Business on the forty-second (42nd) Scheduled Trading Day immediately before the Redemption Date for such Redemption, whether such Note or beneficial interest, as applicable, is to be redeemed pursuant to such Redemption, then such Holder or owner, as applicable, will be entitled to Exchange such Note or beneficial interest, as applicable, at any time before the Close of Business on the second (2nd) Business Day immediately before such Redemption Date (subject to extension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5.01(C)(i)(4)</w:t>
      </w:r>
      <w:r>
        <w:rPr>
          <w:rFonts w:ascii="Times New Roman" w:hAnsi="Times New Roman"/>
          <w:sz w:val="20"/>
        </w:rPr>
        <w:t xml:space="preserve">), and each such Exchange will be deemed to be of a Note called for Redemption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w:t>
      </w:r>
      <w:r>
        <w:rPr>
          <w:rFonts w:ascii="Times New Roman" w:hAnsi="Times New Roman"/>
          <w:b/>
          <w:sz w:val="20"/>
        </w:rPr>
        <w:t>Sections 5.01(C)(i)(4)</w:t>
      </w:r>
      <w:r>
        <w:rPr>
          <w:rFonts w:ascii="Times New Roman" w:hAnsi="Times New Roman"/>
          <w:sz w:val="20"/>
        </w:rPr>
        <w:t xml:space="preserve"> and </w:t>
      </w:r>
      <w:r>
        <w:rPr>
          <w:rFonts w:ascii="Times New Roman" w:hAnsi="Times New Roman"/>
          <w:b/>
          <w:sz w:val="20"/>
        </w:rPr>
        <w:t>5.07</w:t>
      </w:r>
      <w:r>
        <w:rPr>
          <w:rFonts w:ascii="Times New Roman" w:hAnsi="Times New Roman"/>
          <w:sz w:val="20"/>
        </w:rPr>
        <w:t xml:space="preserve">. For the avoidance of doubt, each reference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or the Notes to (x) any Note that is called for Redemption (or similar language) includes any Note that is deemed to be called for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and (y) any Note that is not called for Redemption (or similar language) excludes any Note that is deemed to be called for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The Trustee shall not be obligated to make any determination in connection with this Section 4.03(I).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Repurchases or Other Acquisitions Other Than by Redemption Not Affected</w:t>
      </w:r>
      <w:r>
        <w:rPr>
          <w:rFonts w:ascii="Times New Roman" w:hAnsi="Times New Roman"/>
          <w:sz w:val="20"/>
        </w:rPr>
        <w:t xml:space="preserve">. For the avoidance of doubt, nothing in this Section 4.03 will limit or otherwise apply to any repurchase or other acquisition, by the Company or its Affiliates, or any other Person, of any Notes not by Redemption (including in the open market transactions, private or public tender or exchange offers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EXCHANGE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RIGHT TO EXCHANGE.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Subject to the provisions of this </w:t>
      </w:r>
      <w:r>
        <w:rPr>
          <w:rFonts w:ascii="Times New Roman" w:hAnsi="Times New Roman"/>
          <w:b/>
          <w:sz w:val="20"/>
        </w:rPr>
        <w:t>Article 5</w:t>
      </w:r>
      <w:r>
        <w:rPr>
          <w:rFonts w:ascii="Times New Roman" w:hAnsi="Times New Roman"/>
          <w:sz w:val="20"/>
        </w:rPr>
        <w:t xml:space="preserve">, each Holder may, at its option, Exchange such Holder’s Notes into Exchange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Exchanges in Part</w:t>
      </w:r>
      <w:r>
        <w:rPr>
          <w:rFonts w:ascii="Times New Roman" w:hAnsi="Times New Roman"/>
          <w:sz w:val="20"/>
        </w:rPr>
        <w:t xml:space="preserve">. Subject to the terms of this Indenture, Notes may be Exchanged in part, but only in Authorized Denominations. Provisions of this </w:t>
      </w:r>
      <w:r>
        <w:rPr>
          <w:rFonts w:ascii="Times New Roman" w:hAnsi="Times New Roman"/>
          <w:b/>
          <w:sz w:val="20"/>
        </w:rPr>
        <w:t>Article 5</w:t>
      </w:r>
      <w:r>
        <w:rPr>
          <w:rFonts w:ascii="Times New Roman" w:hAnsi="Times New Roman"/>
          <w:sz w:val="20"/>
        </w:rPr>
        <w:t xml:space="preserve"> applying to the Exchange of a Note in whole will equally apply to Exchanges of a permitted portion of a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When Notes May Be Exchanged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5.01(C)(ii)</w:t>
      </w:r>
      <w:r>
        <w:rPr>
          <w:rFonts w:ascii="Times New Roman" w:hAnsi="Times New Roman"/>
          <w:sz w:val="20"/>
        </w:rPr>
        <w:t xml:space="preserve">, a Note may be Exchanged only in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Exchange Upon Satisfaction of Common Stock Sale Price Condition</w:t>
      </w:r>
      <w:r>
        <w:rPr>
          <w:rFonts w:ascii="Times New Roman" w:hAnsi="Times New Roman"/>
          <w:sz w:val="20"/>
        </w:rPr>
        <w:t xml:space="preserve">. A Holder may Exchange its Notes at any time during the 30 consecutive Trading Day period beginning on, and including, the 21st Trading Day of any fiscal quarter commencing after the fiscal quarter ending on December 31, 2026, if the Last Reported Sale Price of the Common Stock exceeds 130% of the Exchange Price for each of at least five Trading Days (whether or not consecutive) during the first 20 consecutive Trading Days of such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Exchange Upon Satisfaction of Note Trading Price Condition</w:t>
      </w:r>
      <w:r>
        <w:rPr>
          <w:rFonts w:ascii="Times New Roman" w:hAnsi="Times New Roman"/>
          <w:sz w:val="20"/>
        </w:rPr>
        <w:t>. A Holder may Exchange its Notes during the five (5) consecutive Business Days immediately after any ten (10) consecutive Trading Day period (such ten (10) consecutive Trading Day period, the “</w:t>
      </w:r>
      <w:r>
        <w:rPr>
          <w:rFonts w:ascii="Times New Roman" w:hAnsi="Times New Roman"/>
          <w:b/>
          <w:sz w:val="20"/>
        </w:rPr>
        <w:t>Measurement Period</w:t>
      </w:r>
      <w:r>
        <w:rPr>
          <w:rFonts w:ascii="Times New Roman" w:hAnsi="Times New Roman"/>
          <w:sz w:val="20"/>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Exchange Rate on such Trading Day. The condition set forth in the preceding sentence is referred to in this Indenture as the “</w:t>
      </w:r>
      <w:r>
        <w:rPr>
          <w:rFonts w:ascii="Times New Roman" w:hAnsi="Times New Roman"/>
          <w:b/>
          <w:sz w:val="20"/>
        </w:rPr>
        <w:t>Trading Price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Trading Price will be determined by the Bid Solicitation Agent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5.01(C)(i)(2)</w:t>
      </w:r>
      <w:r>
        <w:rPr>
          <w:rFonts w:ascii="Times New Roman" w:hAnsi="Times New Roman"/>
          <w:sz w:val="20"/>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of at least $3,000,000 aggregate principal amount of Notes provides the Company with reasonable evidence that the Trading Price per $1,000 principal amount of Notes would be less than ninety eight percent (98%) of the product of the Last Reported Sale Price per share of Common Stock and the Exchange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Exchange Rate on such Trading Day. If the Trading Price Condition has been met as set forth above, then the Company will notify the Holders, the Trustee and the Exchange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Exchange Rate on such Trading Day, then the Company will notify the Holders, the Trustee and the Exchange Agent of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Exchange Upon Specified Corporate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Certain Distributions</w:t>
      </w:r>
      <w:r>
        <w:rPr>
          <w:rFonts w:ascii="Times New Roman" w:hAnsi="Times New Roman"/>
          <w:sz w:val="20"/>
        </w:rPr>
        <w:t xml:space="preserve">. If, before May 15, 2031, the Parent Guarantor elects to: </w:t>
      </w:r>
    </w:p>
    <w:p>
      <w:pPr>
        <w:pStyle w:val="TextBody"/>
        <w:bidi w:val="0"/>
        <w:spacing w:before="120" w:after="0"/>
        <w:jc w:val="left"/>
        <w:rPr>
          <w:rFonts w:ascii="Times New Roman" w:hAnsi="Times New Roman"/>
          <w:sz w:val="20"/>
        </w:rPr>
      </w:pPr>
      <w:r>
        <w:rPr>
          <w:rFonts w:ascii="Times New Roman" w:hAnsi="Times New Roman"/>
          <w:sz w:val="20"/>
        </w:rPr>
        <w:t xml:space="preserve">(I)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hAnsi="Times New Roman"/>
          <w:b/>
          <w:sz w:val="20"/>
        </w:rPr>
        <w:t>clause (I)</w:t>
      </w:r>
      <w:r>
        <w:rPr>
          <w:rFonts w:ascii="Times New Roman" w:hAnsi="Times New Roman"/>
          <w:sz w:val="20"/>
        </w:rPr>
        <w:t xml:space="preserve">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5.05(A)(ii)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distribute, to all or substantially all holders of Common Stock, assets or securities of the Parent Guarantor or rights to purchase the Parent Guarantor’s securities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hAnsi="Times New Roman"/>
          <w:b/>
          <w:sz w:val="20"/>
        </w:rPr>
        <w:t>clause (II)</w:t>
      </w:r>
      <w:r>
        <w:rPr>
          <w:rFonts w:ascii="Times New Roman" w:hAnsi="Times New Roman"/>
          <w:sz w:val="20"/>
        </w:rPr>
        <w:t xml:space="preserve"> upon their separation from the Common Stock or upon the occurrence of such triggering event), which distribution per share of Common Stock has a value, as reasonably determined by the Board of Directors, exceeding ten percent (10%) of the Last Reported Sale Price per share of Common Stock on the Trading Day immediately before the date such distribution is announced, </w:t>
      </w:r>
    </w:p>
    <w:p>
      <w:pPr>
        <w:pStyle w:val="TextBody"/>
        <w:bidi w:val="0"/>
        <w:spacing w:before="240" w:after="0"/>
        <w:jc w:val="left"/>
        <w:rPr>
          <w:rFonts w:ascii="Times New Roman" w:hAnsi="Times New Roman"/>
          <w:sz w:val="20"/>
        </w:rPr>
      </w:pPr>
      <w:r>
        <w:rPr>
          <w:rFonts w:ascii="Times New Roman" w:hAnsi="Times New Roman"/>
          <w:sz w:val="20"/>
        </w:rPr>
        <w:t xml:space="preserve">then, in either case, (x) the Company will send notice of such distribution, and of the related right to Exchange Notes, to Holders, the Trustee and the Exchange Agent at least forty-five (45)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sent such notice, Holders may Exchange their Notes at any time until the earlier of the Close of Business on the Business Day immediately before such Ex-Dividend Date and the Company’s announcement that such distribution will not take place;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Notes will not become Exchangeable pursuant to </w:t>
      </w:r>
      <w:r>
        <w:rPr>
          <w:rFonts w:ascii="Times New Roman" w:hAnsi="Times New Roman"/>
          <w:b/>
          <w:sz w:val="20"/>
        </w:rPr>
        <w:t>clause (y)</w:t>
      </w:r>
      <w:r>
        <w:rPr>
          <w:rFonts w:ascii="Times New Roman" w:hAnsi="Times New Roman"/>
          <w:sz w:val="20"/>
        </w:rPr>
        <w:t xml:space="preserve"> above (but the Company will be required to send notice of such distribution pursuant to </w:t>
      </w:r>
      <w:r>
        <w:rPr>
          <w:rFonts w:ascii="Times New Roman" w:hAnsi="Times New Roman"/>
          <w:b/>
          <w:sz w:val="20"/>
        </w:rPr>
        <w:t>clause (x)</w:t>
      </w:r>
      <w:r>
        <w:rPr>
          <w:rFonts w:ascii="Times New Roman" w:hAnsi="Times New Roman"/>
          <w:sz w:val="20"/>
        </w:rPr>
        <w:t xml:space="preserve"> above) on account of such distribution if each Holder participates, at the same time and on the same terms as holders of Common Stock, and solely by virtue of being a Holder, in such distribution without having to Exchange such Holder’s Notes and as if such Holder held a number of shares of Common Stock equal to the product of (i) the Exchange Rate in effect on the record date for such distribution; and (ii) the aggregate principal amount (expressed in thousands) of Notes held by such Holder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Certain Corporate Events</w:t>
      </w:r>
      <w:r>
        <w:rPr>
          <w:rFonts w:ascii="Times New Roman" w:hAnsi="Times New Roman"/>
          <w:sz w:val="20"/>
        </w:rPr>
        <w:t xml:space="preserve">. If a Fundamental Change, Make-Whole Fundamental Change (other than a Make-Whole Fundamental Change pursuant to clause (B) of the definition thereof) or Common Stock Change Event occurs (other than a merger or other business combination transaction that is effected solely to change the Company’s or the Parent Guarantor’s jurisdiction of organization and that does not constitute a Fundamental Change or a Make-Whole Fundamental Change), then, in each case, Holders may Exchange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does not provide the notice referred to in the immediately following sentence by the Business Day after such effective date, then the last day on which the Notes are Exchangeable pursuant to this sentence will be extended by the number of Business Days from, and including, the Business Day after such effective date to, but excluding, the date the Company provides such notice. No later than the Business Day after such effective date, the Company will send notice to the Holders, the Trustee and the Exchange Agent of such transaction or event, such effective date and the related right to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Exchange Upon Redemption</w:t>
      </w:r>
      <w:r>
        <w:rPr>
          <w:rFonts w:ascii="Times New Roman" w:hAnsi="Times New Roman"/>
          <w:sz w:val="20"/>
        </w:rPr>
        <w:t xml:space="preserve">. If the Company calls (or is deemed,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to have called) any Note for Redemption, then the Holder of such Note may Exchange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Exchanges During Free Exchangeability Period</w:t>
      </w:r>
      <w:r>
        <w:rPr>
          <w:rFonts w:ascii="Times New Roman" w:hAnsi="Times New Roman"/>
          <w:sz w:val="20"/>
        </w:rPr>
        <w:t xml:space="preserve">. A Holder may Exchange its Notes at any time from, and including, May 15, 2031 until the Close of Business on the second (2nd) Scheduled Trading Day immediately before the Maturity Date regardless of the conditions set forth in </w:t>
      </w:r>
      <w:r>
        <w:rPr>
          <w:rFonts w:ascii="Times New Roman" w:hAnsi="Times New Roman"/>
          <w:b/>
          <w:sz w:val="20"/>
        </w:rPr>
        <w:t>clauses (1)</w:t>
      </w:r>
      <w:r>
        <w:rPr>
          <w:rFonts w:ascii="Times New Roman" w:hAnsi="Times New Roman"/>
          <w:sz w:val="20"/>
        </w:rPr>
        <w:t xml:space="preserve">, </w:t>
      </w:r>
      <w:r>
        <w:rPr>
          <w:rFonts w:ascii="Times New Roman" w:hAnsi="Times New Roman"/>
          <w:b/>
          <w:sz w:val="20"/>
        </w:rPr>
        <w:t>(2)</w:t>
      </w:r>
      <w:r>
        <w:rPr>
          <w:rFonts w:ascii="Times New Roman" w:hAnsi="Times New Roman"/>
          <w:sz w:val="20"/>
        </w:rPr>
        <w:t xml:space="preserve">, </w:t>
      </w:r>
      <w:r>
        <w:rPr>
          <w:rFonts w:ascii="Times New Roman" w:hAnsi="Times New Roman"/>
          <w:b/>
          <w:sz w:val="20"/>
        </w:rPr>
        <w:t>(3)</w:t>
      </w:r>
      <w:r>
        <w:rPr>
          <w:rFonts w:ascii="Times New Roman" w:hAnsi="Times New Roman"/>
          <w:sz w:val="20"/>
        </w:rPr>
        <w:t xml:space="preserve"> or </w:t>
      </w:r>
      <w:r>
        <w:rPr>
          <w:rFonts w:ascii="Times New Roman" w:hAnsi="Times New Roman"/>
          <w:b/>
          <w:sz w:val="20"/>
        </w:rPr>
        <w:t>(4)</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Notes may become Exchangeable pursuant to any one or more of the preceding sub-paragraphs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and the Notes ceasing to be Exchangeable pursuant to a particular sub-paragraph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will not preclude the Notes from being Exchangeable pursuant to any other sub-paragraph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Limitations and Closed Periods</w:t>
      </w:r>
      <w:r>
        <w:rPr>
          <w:rFonts w:ascii="Times New Roman" w:hAnsi="Times New Roman"/>
          <w:sz w:val="20"/>
        </w:rPr>
        <w:t xml:space="preserve">. Notwithstanding anything to the contrary in this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(1) Notes may be surrendered for Exchange only after the Open of Business and before the Close of Business on a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(2) in no event may any Note be Exchanged after the Close of Business on the second (2nd) Scheduled Trading Day immediately before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(3) if the Company calls any Note for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then the Holder of such Note may not Exchange such Note after the Close of Business on the second (2nd) Business Day immediately before the applicable Redemption Date, except to the extent the Company fails to pay the Redemption Price for such Note in accordance with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(4) if a Fundamental Change Repurchase Notice is validly delivered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with respect to any Note, then such Note may not be Exchanged, except to the extent (a) such Note is not subject to such notice; (b) such notice is withdrawn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or (c) the Company fails to pay the Fundamental Change Repurchase Price for such Note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Ownership Limit</w:t>
      </w:r>
      <w:r>
        <w:rPr>
          <w:rFonts w:ascii="Times New Roman" w:hAnsi="Times New Roman"/>
          <w:sz w:val="20"/>
        </w:rPr>
        <w:t>. Notwithstanding anything to the contrary in this Indenture or the Notes, no Holder of Notes will be entitled to receive any shares of Common Stock following an Exchange of such Notes to the extent (but only to the extent) that the receipt of such Common Stock would cause such Holder to exceed the ownership limit or violate other restrictions on ownership and transfer of the Common Stock contained in Article Eight (or any successor Article or provision thereto) of the Parent Guarantor Charter;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subject to the conditions set forth in the Parent Guarantor Charter, the Board of Directors of the Parent Guarantor may exempt a Holder from such restrictions as provided in the Parent Guarantor Charter. Any attempted Exchange of Notes that would result in the delivery of the Common Stock in violation of the restriction set forth in the preceding sentence will be void to the extent (but only to the extent) of the number of shares of Common Stock that would cause such violation, and the related Notes (or portion thereof) will be returned to the Holder as promptly as practicable. The Parent Guarantor and the Company will not have any further obligation to the Holder of such Notes with respect to such voided Exchange, and such Notes (or portion thereof) will be treated as if they had not been submitted for Exchange. The Trustee will have no obligation for monitoring compliance with this </w:t>
      </w:r>
      <w:r>
        <w:rPr>
          <w:rFonts w:ascii="Times New Roman" w:hAnsi="Times New Roman"/>
          <w:b/>
          <w:sz w:val="20"/>
        </w:rPr>
        <w:t>Section</w:t>
      </w:r>
      <w:r>
        <w:rPr>
          <w:rFonts w:ascii="Times New Roman" w:hAnsi="Times New Roman"/>
          <w:sz w:val="20"/>
        </w:rPr>
        <w:t> </w:t>
      </w:r>
      <w:r>
        <w:rPr>
          <w:rFonts w:ascii="Times New Roman" w:hAnsi="Times New Roman"/>
          <w:b/>
          <w:sz w:val="20"/>
        </w:rPr>
        <w:t>5.01(D)</w:t>
      </w:r>
      <w:r>
        <w:rPr>
          <w:rFonts w:ascii="Times New Roman" w:hAnsi="Times New Roman"/>
          <w:sz w:val="20"/>
        </w:rPr>
        <w:t xml:space="preserve"> or monitoring any ownership limits upon the transfer or Exchange of Notes, nor shall the Trustee have any liability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5.02 EXCHANGE PROCEDURES.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Global Notes</w:t>
      </w:r>
      <w:r>
        <w:rPr>
          <w:rFonts w:ascii="Times New Roman" w:hAnsi="Times New Roman"/>
          <w:sz w:val="20"/>
        </w:rPr>
        <w:t xml:space="preserve">. To Exchange a beneficial interest in a Global Note that is Exchangeable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the owner of such beneficial interest must (1) comply with the Depositary Procedures for Exchanging such beneficial interest (at which time such Exchange will become irrevocable); and (2) pay any amounts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Physical Notes</w:t>
      </w:r>
      <w:r>
        <w:rPr>
          <w:rFonts w:ascii="Times New Roman" w:hAnsi="Times New Roman"/>
          <w:sz w:val="20"/>
        </w:rPr>
        <w:t xml:space="preserve">. To Exchange all or a portion of a Physical Note that is Exchangeable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the Holder of such Note must (1) complete, sign and deliver to the Exchange Agent the exchange notice attached to such Physical Note or a .pdf of such exchange notice; (2) deliver such Physical Note to the Exchange Agent (at which time such Exchange will become irrevocable); (3) furnish any endorsements and transfer documents that the Company or the Exchange Agent may require; and (4) pay any amounts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Exchanging a Note</w:t>
      </w:r>
      <w:r>
        <w:rPr>
          <w:rFonts w:ascii="Times New Roman" w:hAnsi="Times New Roman"/>
          <w:sz w:val="20"/>
        </w:rPr>
        <w:t xml:space="preserve">. At the Close of Business on the Exchange Date for a Note (or any portion thereof) to be Exchanged, such Note (or such portion) will (unless there occurs a Default in the delivery of the Exchange Consideration or interest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upon such Exchange) be deemed to cease to be outstanding (and, for the avoidance of doubt, no Person will be deemed to be a Holder of such Note (or such portion thereof) as of the Close of Business on such Exchange Date),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Holder of Record of Exchange Shares</w:t>
      </w:r>
      <w:r>
        <w:rPr>
          <w:rFonts w:ascii="Times New Roman" w:hAnsi="Times New Roman"/>
          <w:sz w:val="20"/>
        </w:rPr>
        <w:t xml:space="preserve">. The Person in whose name any share of Common Stock is deliverable upon Exchange of any Note will be deemed to become the holder of record of such share as of the Close of Business on the last VWAP Trading Day of the Observation Period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Interest Payable Upon Exchange in Certain Circumstances</w:t>
      </w:r>
      <w:r>
        <w:rPr>
          <w:rFonts w:ascii="Times New Roman" w:hAnsi="Times New Roman"/>
          <w:sz w:val="20"/>
        </w:rPr>
        <w:t xml:space="preserve">. If the Exchange Date of a Note is after a Regular Record Date and before the next Interest Payment Date, then (i) the Holder of such Note at the Close of Business on such Regular Record Date will be entitled, notwithstanding such Exchange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Exchange must deliver to the Exchange Agent, at the time of such surrender, an amount of cash equal to the amount of such interest referred to in </w:t>
      </w:r>
      <w:r>
        <w:rPr>
          <w:rFonts w:ascii="Times New Roman" w:hAnsi="Times New Roman"/>
          <w:b/>
          <w:sz w:val="20"/>
        </w:rPr>
        <w:t>clause (i)</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Holder surrendering such Note for Exchange need not deliver such cash (w) if the Company has specified a Redemption Date that is after such Regular Record Date and on or before the second (2nd) Business Day immediately after such Interest Payment Date; (x) if such Exchange Date occurs after the Regular Record Date immediately before the Maturity Date; (y) if the Company has specified a Fundamental Change Repurchase Date that is after such Regular Record Date and on or before the Business Day immediately after such Interest Payment Date; or (z) to the extent of any Additional Interest, Special Interest, overdue interest or interest that has accrued on any overdue interest. For the avoidance of doubt, as a result of, and without limiting the generality of, the foregoing, if a Note is Exchanged with an Exchange Date that is after the Regular Record Date immediately before the Maturity Date, then the Company will pay, as provided above, the interest that would have accrued on such Note to, but excluding, the Maturity Date. For the avoidance of doubt, if the Exchange Date of a Note to be Exchanged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Exchange, need not be accompanied by any cash amount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Taxes and Duties</w:t>
      </w:r>
      <w:r>
        <w:rPr>
          <w:rFonts w:ascii="Times New Roman" w:hAnsi="Times New Roman"/>
          <w:sz w:val="20"/>
        </w:rPr>
        <w:t xml:space="preserve">. If a Holder Exchanges a Note, the Company will pay any documentary, stamp or similar issue or transfer tax or duty due on the issue or delivery of any shares of Common Stock upon such Exchange;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tax or duty is due because such Holder requested such shares to be registered in a name other than such Holder’s name, then such Holder will pay such tax or duty and, until having received a sum sufficient to pay such tax or duty, the Exchange Agent may refuse to deliver any such shares to be delivered in a name other than that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Exchange Agent to Notify Company of Exchanges</w:t>
      </w:r>
      <w:r>
        <w:rPr>
          <w:rFonts w:ascii="Times New Roman" w:hAnsi="Times New Roman"/>
          <w:sz w:val="20"/>
        </w:rPr>
        <w:t xml:space="preserve">. If any Note is submitted for Exchange to the Exchange Agent or the Exchange Agent receives any notice of Exchange with respect to a Note, then the Exchange Agent will promptly (and, in any event, no later than the date the Exchange Agent receives such Note or notice) notify the Company and the Trustee of such occurrence, together with any other information reasonably requested by the Company, and will cooperate with the Company to determine the Exchange Date for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5.03 SETTLEMENT UPON EXCHANGE.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Settlement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The Company’s Right to Elect a Cash Percentage</w:t>
      </w:r>
      <w:r>
        <w:rPr>
          <w:rFonts w:ascii="Times New Roman" w:hAnsi="Times New Roman"/>
          <w:sz w:val="20"/>
        </w:rPr>
        <w:t xml:space="preserve">. The Company will have the right to elect the Cash Percentage applicable to any Exchange of a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All Exchanges of Notes for which the relevant Exchange Date occurs on or after the date the Company sends the Redemption Notice for the related Redemption and on or before the second (2nd) Business Day immediately before the related Redemption Date, and all Exchanges of Notes for which the relevant Exchange Date occurs on or after May 15, 2031 will be settled using the same forms and amounts of consideration; </w:t>
      </w:r>
    </w:p>
    <w:p>
      <w:pPr>
        <w:pStyle w:val="TextBody"/>
        <w:bidi w:val="0"/>
        <w:spacing w:before="240" w:after="0"/>
        <w:jc w:val="left"/>
        <w:rPr>
          <w:rFonts w:ascii="Times New Roman" w:hAnsi="Times New Roman"/>
          <w:sz w:val="20"/>
        </w:rPr>
      </w:pPr>
      <w:r>
        <w:rPr>
          <w:rFonts w:ascii="Times New Roman" w:hAnsi="Times New Roman"/>
          <w:sz w:val="20"/>
        </w:rPr>
        <w:t xml:space="preserve">(2) Except for any Exchanges of Notes for which the relevant Exchange Date occurs on or after the date the Company send the Redemption Notice for the related Redemption and on or before the second (2nd) Business Day immediately before the related Redemption Date and any Exchanges of Notes for which the relevant Exchange Date occurs on or after May 15, 2031, the Company will use the same forms and amounts of consideration for all Exchanges with the same Exchange Date, but the Company will not have any obligation to use the same forms and amounts of consideration with respect to Exchanges of Notes with different Exchange Dates; and </w:t>
      </w:r>
    </w:p>
    <w:p>
      <w:pPr>
        <w:pStyle w:val="TextBody"/>
        <w:bidi w:val="0"/>
        <w:spacing w:before="240" w:after="0"/>
        <w:jc w:val="left"/>
        <w:rPr>
          <w:rFonts w:ascii="Times New Roman" w:hAnsi="Times New Roman"/>
          <w:sz w:val="20"/>
        </w:rPr>
      </w:pPr>
      <w:r>
        <w:rPr>
          <w:rFonts w:ascii="Times New Roman" w:hAnsi="Times New Roman"/>
          <w:sz w:val="20"/>
        </w:rPr>
        <w:t xml:space="preserve">(3) If, in respect of any Exchange Date (or any Exchanges for which the relevant Exchange Date occurs after the issuance by the Company of a Redemption Notice and on or before the second Business Day immediately before the related Redemption Date or which occurs on or after May 15, 2031), the Company elects to settle all or a portion of the Exchange Consideration in respect of an Exchange of Notes in excess of the principal portion of the Notes being Exchanged in cash, the Company will inform Holders so Exchanging, the Trustee and the Exchange Agent (if other than the Trustee) no later than the Close of Business on the Trading Day immediately following the related Exchange Date (or in the case of any Exchanges for which the relevant Exchange Date occurs (i) on or after the date the Company sends the Redemption Notice for the related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4.03(F) </w:t>
      </w:r>
      <w:r>
        <w:rPr>
          <w:rFonts w:ascii="Times New Roman" w:hAnsi="Times New Roman"/>
          <w:sz w:val="20"/>
        </w:rPr>
        <w:t>and on or before the second (2nd) Business Day immediately before the related Redemption Date, in the related Redemption Notice (and, in the case of a Redemption of less than all outstanding Notes, in a notice simultaneously sent to all Holders of Notes not called for Redemption) or (ii) on or after May 15, 2031, no later than May 15, 2031) (in each case, the “</w:t>
      </w:r>
      <w:r>
        <w:rPr>
          <w:rFonts w:ascii="Times New Roman" w:hAnsi="Times New Roman"/>
          <w:b/>
          <w:sz w:val="20"/>
        </w:rPr>
        <w:t>Cash Percentage Election Deadline</w:t>
      </w:r>
      <w:r>
        <w:rPr>
          <w:rFonts w:ascii="Times New Roman" w:hAnsi="Times New Roman"/>
          <w:sz w:val="20"/>
        </w:rPr>
        <w:t>”), and the Company will indicate in such notice the percentage of the Exchange Consideration due upon Exchange in excess of the principal portion of the Notes being Exchanged that will be paid in cash (the “</w:t>
      </w:r>
      <w:r>
        <w:rPr>
          <w:rFonts w:ascii="Times New Roman" w:hAnsi="Times New Roman"/>
          <w:b/>
          <w:sz w:val="20"/>
        </w:rPr>
        <w:t>Cash Percentage</w:t>
      </w:r>
      <w:r>
        <w:rPr>
          <w:rFonts w:ascii="Times New Roman" w:hAnsi="Times New Roman"/>
          <w:sz w:val="20"/>
        </w:rPr>
        <w:t xml:space="preserve">”). If the Company does not elect a Cash Percentage on or prior to the applicable Cash Percentage Election Deadline, the Company will no longer have the right to elect a Cash Percentage for such Exchange or during such period and the Company will be deemed to have elected a Cash Percentage of 0% with respect to such Exchange or during such period, as the case may be. The Company will separately provide to the Trustee and the Exchange Agent (if other than the Trustee) in writing any notice contemplated by this paragraph. In no event will the Company’s failure to make a timely election of the Cash Percentage as described above constitute a Default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The Company’s Right to Irrevocably Fix Percentages</w:t>
      </w:r>
      <w:r>
        <w:rPr>
          <w:rFonts w:ascii="Times New Roman" w:hAnsi="Times New Roman"/>
          <w:sz w:val="20"/>
        </w:rPr>
        <w:t xml:space="preserve">. By notice to the Holders of the Notes, the Trustee and the Exchange Agent (if other than the Trustee), the Company may, prior to May 15, 2031, at its option irrevocably elect to settle the Exchange Consideration in excess of the principal portion of all Notes submitted for Exchange subsequent to the date of the irrevocable election notice using the Cash Percentage specified (in such election notice) for each $1,000 principal amount of Notes, including (at the Company’s option) a specified minimum Cash Percentage per $1,000 principal amount of Notes with an ability to continue to set the Cash Percentage per $1,000 principal amount of Notes at or above the specified minimum Cash Percentage set forth in such election notice. If the Company irrevocably elects a specified minimum Cash Percentage per $1,000 principal amount of Notes with an ability to continue to set the cash percentage per $1,000 principal amount of Notes at or above the specified minimum cash Percentage set forth in such election notice, the Company will, after the date of such election, inform Holders Exchanging their Notes of such Cash Percentage no later than the relevant Cash Percentage Election Deadline, or, if the Company does not timely notify Holders, such Cash Percentage will be the specified minimum Cash Percentage set forth in the election notice. An irrevocable election will apply to all Exchanges with Exchange Dates occurring subsequent to delivery of such notice; provided, however, that no such election will affect any Cash Percentage therefore elected (or deemed to be elected) with respect to any Exchange. For the avoidance of doubt, such an irrevocable election, if made, will be effective without the need to amend this Indenture or the Notes, including pursuant to </w:t>
      </w:r>
      <w:r>
        <w:rPr>
          <w:rFonts w:ascii="Times New Roman" w:hAnsi="Times New Roman"/>
          <w:b/>
          <w:sz w:val="20"/>
        </w:rPr>
        <w:t>Section</w:t>
      </w:r>
      <w:r>
        <w:rPr>
          <w:rFonts w:ascii="Times New Roman" w:hAnsi="Times New Roman"/>
          <w:sz w:val="20"/>
        </w:rPr>
        <w:t xml:space="preserve"> 8.01(G) (it being understood, however, that the Company may nonetheless choose to execute such an amendment at its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Requirement to Publicly Disclose the Fixed Cash Percentage.</w:t>
      </w:r>
      <w:r>
        <w:rPr>
          <w:rFonts w:ascii="Times New Roman" w:hAnsi="Times New Roman"/>
          <w:sz w:val="20"/>
        </w:rPr>
        <w:t xml:space="preserve"> If the Company fixes the Cash Percentage or the minimum Cash Percentage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5.03(A)(ii)</w:t>
      </w:r>
      <w:r>
        <w:rPr>
          <w:rFonts w:ascii="Times New Roman" w:hAnsi="Times New Roman"/>
          <w:sz w:val="20"/>
        </w:rPr>
        <w:t xml:space="preserve">, then the Company or the Parent Guarantor will, concurrently with providing the related notice to the Holders, the Trustee and the Exchange Agent (if other than the Trustee), either post such irrevocable election on its website or disclose the same in a Current Report on Form 8-K (or any successor form) that is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Exchange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5.01(D), 5.03(B)(ii)</w:t>
      </w:r>
      <w:r>
        <w:rPr>
          <w:rFonts w:ascii="Times New Roman" w:hAnsi="Times New Roman"/>
          <w:sz w:val="20"/>
        </w:rPr>
        <w:t xml:space="preserve">, </w:t>
      </w:r>
      <w:r>
        <w:rPr>
          <w:rFonts w:ascii="Times New Roman" w:hAnsi="Times New Roman"/>
          <w:b/>
          <w:sz w:val="20"/>
        </w:rPr>
        <w:t>5.03(B)(iii)</w:t>
      </w:r>
      <w:r>
        <w:rPr>
          <w:rFonts w:ascii="Times New Roman" w:hAnsi="Times New Roman"/>
          <w:sz w:val="20"/>
        </w:rPr>
        <w:t xml:space="preserve"> and </w:t>
      </w:r>
      <w:r>
        <w:rPr>
          <w:rFonts w:ascii="Times New Roman" w:hAnsi="Times New Roman"/>
          <w:b/>
          <w:sz w:val="20"/>
        </w:rPr>
        <w:t>5.09(A)(2)</w:t>
      </w:r>
      <w:r>
        <w:rPr>
          <w:rFonts w:ascii="Times New Roman" w:hAnsi="Times New Roman"/>
          <w:sz w:val="20"/>
        </w:rPr>
        <w:t>, upon the Exchange of any Note, the Company will settle such Exchange by paying and, if applicable, delivering to Holders in respect of each $1,000 principal amount of Notes being exchanged, a settlement amount equal to the sum of the Daily Settlement Amounts for each of the 40 consecutive VWAP Trading Days during the relevant Observation Period for such Note (the “</w:t>
      </w:r>
      <w:r>
        <w:rPr>
          <w:rFonts w:ascii="Times New Roman" w:hAnsi="Times New Roman"/>
          <w:b/>
          <w:sz w:val="20"/>
        </w:rPr>
        <w:t>Exchange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Cash in Lieu of Fractional Shares</w:t>
      </w:r>
      <w:r>
        <w:rPr>
          <w:rFonts w:ascii="Times New Roman" w:hAnsi="Times New Roman"/>
          <w:sz w:val="20"/>
        </w:rPr>
        <w:t xml:space="preserve">. If Combination Settlement applies to the Exchange of any Note and the number of shares of Common Stock deliverable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5.03(B)(i)</w:t>
      </w:r>
      <w:r>
        <w:rPr>
          <w:rFonts w:ascii="Times New Roman" w:hAnsi="Times New Roman"/>
          <w:sz w:val="20"/>
        </w:rPr>
        <w:t xml:space="preserve"> upon such Exchange is not a whole number, then such number will be rounded down to the nearest whole number and the Company will deliver, in addition to the other consideration due upon such Exchange, cash in lieu of the related fractional share in an amount equal to the product of (1) such fraction and (2) the Daily VWAP on the last VWAP Trading Day of the Observation Period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Exchange of Multiple Notes by a Single Holder</w:t>
      </w:r>
      <w:r>
        <w:rPr>
          <w:rFonts w:ascii="Times New Roman" w:hAnsi="Times New Roman"/>
          <w:sz w:val="20"/>
        </w:rPr>
        <w:t xml:space="preserve">. If a Holder Exchanges more than one (1) Note on a single Exchange Date, then the Exchange Consideration due in respect of such Exchange will (in the case of any Global Note, to the extent permitted by, and practicable under, the Depositary Procedures) be computed based on the total principal amount of Notes Exchanged on such Exchange Date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Notice of Calculation of Exchange Consideration</w:t>
      </w:r>
      <w:r>
        <w:rPr>
          <w:rFonts w:ascii="Times New Roman" w:hAnsi="Times New Roman"/>
          <w:sz w:val="20"/>
        </w:rPr>
        <w:t xml:space="preserve">. If any Note is to be Exchanged, then the Company will determine the Exchange Consideration due thereupon promptly following the last VWAP Trading Day of the applicable Observation Period and will promptly thereafter send notice to the Trustee and the Exchange Agent of the same and the calculation thereof in reasonable detail. Neither the Trustee nor the Exchange Agent will have any duty to make any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Delivery of the Exchange Consideration</w:t>
      </w:r>
      <w:r>
        <w:rPr>
          <w:rFonts w:ascii="Times New Roman" w:hAnsi="Times New Roman"/>
          <w:sz w:val="20"/>
        </w:rPr>
        <w:t xml:space="preserve">. Except as set forth in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5.01(D)</w:t>
      </w:r>
      <w:r>
        <w:rPr>
          <w:rFonts w:ascii="Times New Roman" w:hAnsi="Times New Roman"/>
          <w:sz w:val="20"/>
        </w:rPr>
        <w:t xml:space="preserve">, </w:t>
      </w:r>
      <w:r>
        <w:rPr>
          <w:rFonts w:ascii="Times New Roman" w:hAnsi="Times New Roman"/>
          <w:b/>
          <w:sz w:val="20"/>
        </w:rPr>
        <w:t>5.05(D)</w:t>
      </w:r>
      <w:r>
        <w:rPr>
          <w:rFonts w:ascii="Times New Roman" w:hAnsi="Times New Roman"/>
          <w:sz w:val="20"/>
        </w:rPr>
        <w:t xml:space="preserve"> and </w:t>
      </w:r>
      <w:r>
        <w:rPr>
          <w:rFonts w:ascii="Times New Roman" w:hAnsi="Times New Roman"/>
          <w:b/>
          <w:sz w:val="20"/>
        </w:rPr>
        <w:t>5.09</w:t>
      </w:r>
      <w:r>
        <w:rPr>
          <w:rFonts w:ascii="Times New Roman" w:hAnsi="Times New Roman"/>
          <w:sz w:val="20"/>
        </w:rPr>
        <w:t xml:space="preserve">, the Company will pay or deliver, as applicable, the Exchange Consideration due upon the Exchange of any Note to the Holder on the second (2nd) Business Day immediately after the last VWAP Trading Day of the Observation Period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Deemed Payment of Principal and Interest; Settlement of Accrued Interest Notwithstanding Exchange</w:t>
      </w:r>
      <w:r>
        <w:rPr>
          <w:rFonts w:ascii="Times New Roman" w:hAnsi="Times New Roman"/>
          <w:sz w:val="20"/>
        </w:rPr>
        <w:t xml:space="preserve">. If a Holder Exchanges a Note, then the Company will not adjust the Exchange Rate to account for any accrued and unpaid interest on such Note, and,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the Company’s delivery of the Exchange Consideration due in respect of such Exchange will be deemed to fully satisfy and discharge the Company’s obligation to pay the principal of, and accrued and unpaid interest, if any, on, such Note to, but excluding the Exchange Date. As a result,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any accrued and unpaid interest on an Exchanged Note will be deemed to be paid in full rather than cancelled, extinguished or forfeited. In addition,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if the Exchange Consideration for a Note consists of both cash and shares of Common Stock, then accrued and unpaid interest that is deemed to be paid therewith will be deemed to be paid first out of such cash.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5.04 RESERVE AND STATUS OF COMMON STOCK DELIVERED UPON EXCHANGE.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Stock Reserve</w:t>
      </w:r>
      <w:r>
        <w:rPr>
          <w:rFonts w:ascii="Times New Roman" w:hAnsi="Times New Roman"/>
          <w:sz w:val="20"/>
        </w:rPr>
        <w:t xml:space="preserve">. At all times when any Notes are outstanding, the Parent Guarantor will reserve (out of its authorized and not outstanding shares of Common Stock that are not reserved for other purposes) a number of shares of Common Stock equal to the product of (i) the aggregate principal amount (expressed in thousands) of all then-outstanding Notes; and (ii) the Exchange Rate then in effect (assuming, for these purposes, that the Exchange Rate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increased by the maximum amount pursuant to which the Exchange Rate may be increased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To the extent the Parent Guarantor delivers shares of Common Stock held in its treasury in settlement of the Exchange of any Notes, each reference in this Indenture or the Notes to the delivery of shares of Common Stock in connection therewith will be deemed to include such delivery,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Status of Exchange Shares; Listing</w:t>
      </w:r>
      <w:r>
        <w:rPr>
          <w:rFonts w:ascii="Times New Roman" w:hAnsi="Times New Roman"/>
          <w:sz w:val="20"/>
        </w:rPr>
        <w:t xml:space="preserve">. Each Exchange Share, if any, delivered upon Exchange of any Note will be a newly issued or treasury share (except that any Exchange Share delivered by a designated financial institution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Exchange Share will be delivered). If the Common Stock is then listed on any securities exchange, or quoted on any inter-dealer quotation system, then the Company will use commercially reasonable efforts to cause each Exchange Share, when delivered upon Exchange of any Note, to be admitted for listing on such exchange or quotation on such system.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5.05 ADJUSTMENTS TO THE EXCHANGE RATE.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Events Requiring an Adjustment to the Exchange Rate</w:t>
      </w:r>
      <w:r>
        <w:rPr>
          <w:rFonts w:ascii="Times New Roman" w:hAnsi="Times New Roman"/>
          <w:sz w:val="20"/>
        </w:rPr>
        <w:t xml:space="preserve">. The Exchange Rate will be adjusted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Stock Dividends, Splits and Combinations</w:t>
      </w:r>
      <w:r>
        <w:rPr>
          <w:rFonts w:ascii="Times New Roman" w:hAnsi="Times New Roman"/>
          <w:sz w:val="20"/>
        </w:rPr>
        <w:t xml:space="preserve">. If the Parent Guarantor issues solely shares of Common Stock as a dividend or distribution on all or substantially all shares of the Common Stock, or if the Parent Guarantor effects a stock split or a stock combination of the Common Stock (in each case excluding an issuance solely pursuant to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then the Exchange Rate will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1811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4476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
        <w:gridCol w:w="143"/>
        <w:gridCol w:w="157"/>
        <w:gridCol w:w="143"/>
        <w:gridCol w:w="9045"/>
      </w:tblGrid>
      <w:tr>
        <w:trPr/>
        <w:tc>
          <w:tcPr>
            <w:tcW w:w="71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pPr>
            <w:r>
              <w:rPr/>
              <w:t>where:</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sz w:val="4"/>
                <w:szCs w:val="4"/>
              </w:rPr>
            </w:pPr>
            <w:r>
              <w:rPr>
                <w:sz w:val="4"/>
                <w:szCs w:val="4"/>
              </w:rPr>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188"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ER</w:t>
            </w:r>
            <w:r>
              <w:rPr>
                <w:i/>
                <w:sz w:val="13"/>
              </w:rPr>
              <w:t>0</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r>
              <w:rPr/>
              <w:t>the Exchange Rate in effect immediately before the Open of Business on the Ex-Dividend Date for such dividend or distribution, or immediately before the Open of Business on the effective date of such stock split or stock combination, as applicable;</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188"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ER</w:t>
            </w:r>
            <w:r>
              <w:rPr>
                <w:i/>
                <w:sz w:val="13"/>
              </w:rPr>
              <w:t>1</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r>
              <w:rPr/>
              <w:t>the Exchange Rate in effect immediately after the Open of Business on such Ex-Dividend Date or effective date, as applicable;</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188"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OS</w:t>
            </w:r>
            <w:r>
              <w:rPr>
                <w:i/>
                <w:sz w:val="13"/>
              </w:rPr>
              <w:t>0</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r>
              <w:rPr/>
              <w:t>the number of shares of Common Stock outstanding immediately before the Open of Business on such Ex-Dividend Date or effective date, as applicable, without giving effect to such dividend, distribution, stock split or stock combination; and</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188"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OS</w:t>
            </w:r>
            <w:r>
              <w:rPr>
                <w:i/>
                <w:sz w:val="13"/>
              </w:rPr>
              <w:t>1</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r>
              <w:rPr/>
              <w:t>the number of shares of Common Stock outstanding immediately after giving effect to such dividend, distribution, stock split or stock combination.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dividend, distribution, stock split or stock combination of the type described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is declared or announced, but not so paid or made, then the Exchange Rate will be readjusted, effective as of the date the Board of Directors determines not to pay such dividend or distribution or to effect such stock split or stock combination, to the Exchange Rate that would then be in effect had such dividend, distribution, stock split or stock combination not been declared or announced.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Rights, Options and Warrants</w:t>
      </w:r>
      <w:r>
        <w:rPr>
          <w:rFonts w:ascii="Times New Roman" w:hAnsi="Times New Roman"/>
          <w:sz w:val="20"/>
        </w:rPr>
        <w:t xml:space="preserve">. If the Parent Guarantor distributes, to all or substantially all holders of Common Stock, rights, options or warrants (other than rights issued or otherwise distributed pursuant to a stockholder rights plan, as to which </w:t>
      </w:r>
      <w:r>
        <w:rPr>
          <w:rFonts w:ascii="Times New Roman" w:hAnsi="Times New Roman"/>
          <w:b/>
          <w:sz w:val="20"/>
        </w:rPr>
        <w:t>Sections 5.05(A)(iii)(1)</w:t>
      </w:r>
      <w:r>
        <w:rPr>
          <w:rFonts w:ascii="Times New Roman" w:hAnsi="Times New Roman"/>
          <w:sz w:val="20"/>
        </w:rPr>
        <w:t xml:space="preserve"> and </w:t>
      </w:r>
      <w:r>
        <w:rPr>
          <w:rFonts w:ascii="Times New Roman" w:hAnsi="Times New Roman"/>
          <w:b/>
          <w:sz w:val="20"/>
        </w:rPr>
        <w:t>5.05(F)</w:t>
      </w:r>
      <w:r>
        <w:rPr>
          <w:rFonts w:ascii="Times New Roman" w:hAnsi="Times New Roman"/>
          <w:sz w:val="20"/>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428750"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4381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
        <w:gridCol w:w="143"/>
        <w:gridCol w:w="158"/>
        <w:gridCol w:w="143"/>
        <w:gridCol w:w="9044"/>
      </w:tblGrid>
      <w:tr>
        <w:trPr/>
        <w:tc>
          <w:tcPr>
            <w:tcW w:w="71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044" w:type="dxa"/>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pPr>
            <w:r>
              <w:rPr/>
              <w:t>where:</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9044" w:type="dxa"/>
            <w:tcBorders/>
          </w:tcPr>
          <w:p>
            <w:pPr>
              <w:pStyle w:val="TableContents"/>
              <w:bidi w:val="0"/>
              <w:spacing w:before="0" w:after="283"/>
              <w:jc w:val="left"/>
              <w:rPr>
                <w:sz w:val="4"/>
                <w:szCs w:val="4"/>
              </w:rPr>
            </w:pPr>
            <w:r>
              <w:rPr>
                <w:sz w:val="4"/>
                <w:szCs w:val="4"/>
              </w:rPr>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187"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ER</w:t>
            </w:r>
            <w:r>
              <w:rPr>
                <w:i/>
                <w:sz w:val="13"/>
              </w:rPr>
              <w:t>0</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4" w:type="dxa"/>
            <w:tcBorders/>
          </w:tcPr>
          <w:p>
            <w:pPr>
              <w:pStyle w:val="TableContents"/>
              <w:bidi w:val="0"/>
              <w:spacing w:before="0" w:after="283"/>
              <w:jc w:val="left"/>
              <w:rPr/>
            </w:pPr>
            <w:r>
              <w:rPr/>
              <w:t>the Exchange Rate in effect immediately before the Open of Business on the Ex-Dividend Date for such distribution;</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187"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ER</w:t>
            </w:r>
            <w:r>
              <w:rPr>
                <w:i/>
                <w:sz w:val="13"/>
              </w:rPr>
              <w:t>1</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4" w:type="dxa"/>
            <w:tcBorders/>
          </w:tcPr>
          <w:p>
            <w:pPr>
              <w:pStyle w:val="TableContents"/>
              <w:bidi w:val="0"/>
              <w:spacing w:before="0" w:after="283"/>
              <w:jc w:val="left"/>
              <w:rPr/>
            </w:pPr>
            <w:r>
              <w:rPr/>
              <w:t>the Exchange Rate in effect immediately after the Open of Business on such Ex-Dividend Date;</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187"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OS</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4" w:type="dxa"/>
            <w:tcBorders/>
          </w:tcPr>
          <w:p>
            <w:pPr>
              <w:pStyle w:val="TableContents"/>
              <w:bidi w:val="0"/>
              <w:spacing w:before="0" w:after="283"/>
              <w:jc w:val="left"/>
              <w:rPr/>
            </w:pPr>
            <w:r>
              <w:rPr/>
              <w:t>the number of shares of Common Stock outstanding immediately before the Open of Business on such Ex-Dividend Date;</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187"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X</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4" w:type="dxa"/>
            <w:tcBorders/>
          </w:tcPr>
          <w:p>
            <w:pPr>
              <w:pStyle w:val="TableContents"/>
              <w:bidi w:val="0"/>
              <w:spacing w:before="0" w:after="283"/>
              <w:jc w:val="left"/>
              <w:rPr/>
            </w:pPr>
            <w:r>
              <w:rPr/>
              <w:t>the total number of shares of Common Stock deliverable pursuant to such rights, options or warrants; and</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187"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i/>
              </w:rPr>
            </w:pPr>
            <w:r>
              <w:rPr>
                <w:i/>
              </w:rPr>
              <w:t>Y</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044" w:type="dxa"/>
            <w:tcBorders/>
          </w:tcPr>
          <w:p>
            <w:pPr>
              <w:pStyle w:val="TableContents"/>
              <w:bidi w:val="0"/>
              <w:spacing w:before="0" w:after="283"/>
              <w:jc w:val="left"/>
              <w:rPr/>
            </w:pPr>
            <w:r>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such rights, options or warrants are not so distributed, the Exchange Rate will be readjusted to the Exchange Rate that would then be in effect had the increase to the Exchange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Exchange Rate will be readjusted to the Exchange Rate that would then be in effect had the increase to the Exchange Rate for such distribution been made on the basis of delivery of only the number of shares of Common Stock actually delivered upon exercise of such rights, options or warrants.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5.05(A)(ii)</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5.01(C)(i)(3)(a)(I)</w:t>
      </w:r>
      <w:r>
        <w:rPr>
          <w:rFonts w:ascii="Times New Roman" w:hAnsi="Times New Roman"/>
          <w:sz w:val="20"/>
        </w:rPr>
        <w:t xml:space="preserve">,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Parent Guarantor receives for such rights, options or warrants and any amount payable on exercise thereof, with the value of such consideration, if not cash, to be determined by the Parent Guarantor in good faith and in a commercially reasonable manner.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Spin-Offs and Other Distributed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Distributions Other than Spin-Offs</w:t>
      </w:r>
      <w:r>
        <w:rPr>
          <w:rFonts w:ascii="Times New Roman" w:hAnsi="Times New Roman"/>
          <w:sz w:val="20"/>
        </w:rPr>
        <w:t xml:space="preserve">. If the Parent Guarantor distributes shares of its Capital Stock, evidences of its indebtedness or other assets or property of the Parent Guarantor, or rights, options or warrants to acquire Capital Stock of the Parent Guarantor or other securities, to all or substantially all holders of the Common Stock, excluding: </w:t>
      </w:r>
    </w:p>
    <w:p>
      <w:pPr>
        <w:pStyle w:val="TextBody"/>
        <w:bidi w:val="0"/>
        <w:spacing w:before="120" w:after="0"/>
        <w:jc w:val="left"/>
        <w:rPr>
          <w:rFonts w:ascii="Times New Roman" w:hAnsi="Times New Roman"/>
          <w:sz w:val="20"/>
        </w:rPr>
      </w:pPr>
      <w:r>
        <w:rPr>
          <w:rFonts w:ascii="Times New Roman" w:hAnsi="Times New Roman"/>
          <w:sz w:val="20"/>
        </w:rPr>
        <w:t xml:space="preserve">(u) dividends, distributions, rights, options or warrants for which an adjustment to the Exchange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or </w:t>
      </w:r>
      <w:r>
        <w:rPr>
          <w:rFonts w:ascii="Times New Roman" w:hAnsi="Times New Roman"/>
          <w:b/>
          <w:sz w:val="20"/>
        </w:rPr>
        <w:t>5.05(A)(ii)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dividends or distributions paid exclusively in cash for which an adjustment to the Exchange Rate is required (or would be required assuming the Dividend Threshold were zero and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 rights issued or otherwise distributed pursuant to a stockholder rights plan,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 Spin-Offs for which an adjustment to the Exchange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 a distribution solely pursuant to a tender offer or exchange offer for shares of Common Stock,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will apply; and </w:t>
      </w:r>
    </w:p>
    <w:p>
      <w:pPr>
        <w:pStyle w:val="TextBody"/>
        <w:bidi w:val="0"/>
        <w:spacing w:before="240" w:after="0"/>
        <w:jc w:val="left"/>
        <w:rPr>
          <w:rFonts w:ascii="Times New Roman" w:hAnsi="Times New Roman"/>
          <w:sz w:val="20"/>
        </w:rPr>
      </w:pPr>
      <w:r>
        <w:rPr>
          <w:rFonts w:ascii="Times New Roman" w:hAnsi="Times New Roman"/>
          <w:sz w:val="20"/>
        </w:rPr>
        <w:t xml:space="preserve">(z) a distribution solely pursuant to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63830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38300" cy="4000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9"/>
        <w:gridCol w:w="116"/>
        <w:gridCol w:w="156"/>
        <w:gridCol w:w="141"/>
        <w:gridCol w:w="9083"/>
      </w:tblGrid>
      <w:tr>
        <w:trPr/>
        <w:tc>
          <w:tcPr>
            <w:tcW w:w="709"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9083" w:type="dxa"/>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where:</w:t>
            </w:r>
          </w:p>
        </w:tc>
        <w:tc>
          <w:tcPr>
            <w:tcW w:w="116"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sz w:val="4"/>
                <w:szCs w:val="4"/>
              </w:rPr>
            </w:pPr>
            <w:r>
              <w:rPr>
                <w:sz w:val="4"/>
                <w:szCs w:val="4"/>
              </w:rPr>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272" w:type="dxa"/>
            <w:gridSpan w:val="2"/>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i/>
              </w:rPr>
            </w:pPr>
            <w:r>
              <w:rPr>
                <w:i/>
              </w:rPr>
              <w:t>ER</w:t>
            </w:r>
            <w:r>
              <w:rPr>
                <w:i/>
                <w:sz w:val="13"/>
              </w:rPr>
              <w:t>0</w:t>
            </w:r>
          </w:p>
        </w:tc>
        <w:tc>
          <w:tcPr>
            <w:tcW w:w="116"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the Exchange Rate in effect immediately before the Open of Business on the Ex-Dividend Date for such distribution;</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272" w:type="dxa"/>
            <w:gridSpan w:val="2"/>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i/>
              </w:rPr>
            </w:pPr>
            <w:r>
              <w:rPr>
                <w:i/>
              </w:rPr>
              <w:t>ER</w:t>
            </w:r>
            <w:r>
              <w:rPr>
                <w:i/>
                <w:sz w:val="13"/>
              </w:rPr>
              <w:t>1</w:t>
            </w:r>
          </w:p>
        </w:tc>
        <w:tc>
          <w:tcPr>
            <w:tcW w:w="116"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the Exchange Rate in effect immediately after the Open of Business on such Ex-Dividend Date;</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272" w:type="dxa"/>
            <w:gridSpan w:val="2"/>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i/>
              </w:rPr>
            </w:pPr>
            <w:r>
              <w:rPr>
                <w:i/>
              </w:rPr>
              <w:t>SP</w:t>
            </w:r>
          </w:p>
        </w:tc>
        <w:tc>
          <w:tcPr>
            <w:tcW w:w="116"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the average of the Last Reported Sale Prices per share of Common Stock for the ten (10) consecutive Trading Days ending on, and including, the Trading Day immediately before such Ex-Dividend Date; and</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272" w:type="dxa"/>
            <w:gridSpan w:val="2"/>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i/>
              </w:rPr>
            </w:pPr>
            <w:r>
              <w:rPr>
                <w:i/>
              </w:rPr>
              <w:t>FMV</w:t>
            </w:r>
          </w:p>
        </w:tc>
        <w:tc>
          <w:tcPr>
            <w:tcW w:w="116"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the fair market value (as determined by the Parent Guarantor in good faith and in a commercially reasonable manner), as of such Ex-Dividend Date, of the shares of Capital Stock, evidences of indebtedness, assets, property, rights, options or warrants distributed per share of Common Stock pursuant to such distribution;</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w:t>
      </w:r>
      <w:r>
        <w:rPr>
          <w:rFonts w:ascii="Times New Roman" w:hAnsi="Times New Roman"/>
          <w:i/>
          <w:sz w:val="20"/>
        </w:rPr>
        <w:t>FMV</w:t>
      </w:r>
      <w:r>
        <w:rPr>
          <w:rFonts w:ascii="Times New Roman" w:hAnsi="Times New Roman"/>
          <w:sz w:val="20"/>
        </w:rPr>
        <w:t xml:space="preserve"> is equal to or greater than </w:t>
      </w:r>
      <w:r>
        <w:rPr>
          <w:rFonts w:ascii="Times New Roman" w:hAnsi="Times New Roman"/>
          <w:i/>
          <w:sz w:val="20"/>
        </w:rPr>
        <w:t>SP</w:t>
      </w:r>
      <w:r>
        <w:rPr>
          <w:rFonts w:ascii="Times New Roman" w:hAnsi="Times New Roman"/>
          <w:sz w:val="20"/>
        </w:rPr>
        <w:t xml:space="preserve">, then, in lieu of the foregoing adjustment to the Exchange Rate, each Holder will receive, for each $1,000 principal amount of Notes held by such Holder on the record date for such distribution, at the same time and on the same terms as holders of Common Stock and without having to Exchange such Notes, the amount and kind of shares of Capital Stock, evidences of indebtedness, assets, property, rights, options or warrants that such Holder would have received in such distribution if such Holder had owned, on such record date, a number of shares of Common Stock equal to the Exchange Rate in effect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such distribution is not so paid or made, the Exchange Rate will be readjusted to the Exchange Rate that would then be in effect had the adjustment been made on the basis of only the distribution, if any, actually made or paid.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Spin-Offs</w:t>
      </w:r>
      <w:r>
        <w:rPr>
          <w:rFonts w:ascii="Times New Roman" w:hAnsi="Times New Roman"/>
          <w:sz w:val="20"/>
        </w:rPr>
        <w:t xml:space="preserve">. If the Parent Guarantor distributes or dividends shares of Capital Stock of any class or series, or similar equity interests, of or relating to an Affiliate, a Subsidiary or other business unit of the Parent Guarantor to all or substantially all holders of the Common Stock (other than solely pursuant to (x)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or (y) a tender offer or exchange offer for shares of Common Stock,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will apply), and such Capital Stock or equity interests are listed or quoted (or will be listed or quoted upon the consummation of the transaction) on a U.S. national securities exchange (a “</w:t>
      </w:r>
      <w:r>
        <w:rPr>
          <w:rFonts w:ascii="Times New Roman" w:hAnsi="Times New Roman"/>
          <w:b/>
          <w:sz w:val="20"/>
        </w:rPr>
        <w:t>Spin-Off</w:t>
      </w:r>
      <w:r>
        <w:rPr>
          <w:rFonts w:ascii="Times New Roman" w:hAnsi="Times New Roman"/>
          <w:sz w:val="20"/>
        </w:rPr>
        <w:t xml:space="preserve">”),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685925"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85925" cy="4286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8"/>
        <w:gridCol w:w="9587"/>
      </w:tblGrid>
      <w:tr>
        <w:trPr/>
        <w:tc>
          <w:tcPr>
            <w:tcW w:w="618" w:type="dxa"/>
            <w:tcBorders/>
          </w:tcPr>
          <w:p>
            <w:pPr>
              <w:pStyle w:val="TableContents"/>
              <w:bidi w:val="0"/>
              <w:spacing w:before="0" w:after="283"/>
              <w:jc w:val="left"/>
              <w:rPr/>
            </w:pPr>
            <w:r>
              <w:rPr/>
              <w:t>where:</w:t>
            </w:r>
          </w:p>
        </w:tc>
        <w:tc>
          <w:tcPr>
            <w:tcW w:w="958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Close of Business on the last Trading Day of the Spin-Off Valuation Period for such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Close of Business on the last Trading Day of the Spin-Off Valuation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FMV</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(x) the average of the Last Reported Sale Prices per share or unit of the Capital Stock or equity interests distributed in such Spin-Off over the ten (10) consecutive Trading Day period (the “Spin-Off Valuation Period”)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SP</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Last Reported Sale Prices per share of Common Stock for each Trading Day in the Spin-Off Valuation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if any VWAP Trading Day of the Observation Period for a Note to be Exchanged occurs during the Spin-Off Valuation Period for such Spin-Off, then, solely for purposes of determining the Exchange Rate for such VWAP Trading Day for such Exchange, such Spin-Off Valuation Period will be deemed to consist of the Trading Days occurring in the period from, and including, the Ex-Dividend Date for such Spin-Off to, and including, such VWAP Trading Day.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dividend or distribution of the type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is declared but not made or paid, the Exchange Rate will be readjusted to the Exchange Rate that would then be in effect had the adjustment been made on the basis of only the dividend or distribution, if any, actually made or paid.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Cash Dividends or Distributions</w:t>
      </w:r>
      <w:r>
        <w:rPr>
          <w:rFonts w:ascii="Times New Roman" w:hAnsi="Times New Roman"/>
          <w:sz w:val="20"/>
        </w:rPr>
        <w:t xml:space="preserve">. If any cash dividend or distribution is made to all or substantially all holders of Common Stock that, together with all prior dividends or distributions made to all or substantially all holders of Common Stock during the calendar quarter in which such dividend or distribution is made, exceeds the Dividend Threshold per share of Common Stock,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4573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57325" cy="4476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8"/>
        <w:gridCol w:w="9587"/>
      </w:tblGrid>
      <w:tr>
        <w:trPr/>
        <w:tc>
          <w:tcPr>
            <w:tcW w:w="618" w:type="dxa"/>
            <w:tcBorders/>
          </w:tcPr>
          <w:p>
            <w:pPr>
              <w:pStyle w:val="TableContents"/>
              <w:bidi w:val="0"/>
              <w:spacing w:before="0" w:after="283"/>
              <w:jc w:val="left"/>
              <w:rPr/>
            </w:pPr>
            <w:r>
              <w:rPr/>
              <w:t>where:</w:t>
            </w:r>
          </w:p>
        </w:tc>
        <w:tc>
          <w:tcPr>
            <w:tcW w:w="958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Open of Business on the Ex-Dividend Date for such dividend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Open of Business on such Ex-Dividend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SP</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Reported Sale Price per share of Common Stock on the Trading Day immediately before such Ex-Dividend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T</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an amount (subject to the proviso below, the “</w:t>
            </w:r>
            <w:r>
              <w:rPr>
                <w:rFonts w:ascii="Times New Roman" w:hAnsi="Times New Roman"/>
                <w:b/>
                <w:sz w:val="20"/>
              </w:rPr>
              <w:t>Dividend Threshold</w:t>
            </w:r>
            <w:r>
              <w:rPr>
                <w:rFonts w:ascii="Times New Roman" w:hAnsi="Times New Roman"/>
                <w:sz w:val="20"/>
              </w:rPr>
              <w:t xml:space="preserve">”) initially equal to $0.17 per share of Common Stock; provided, however, that (x) for purposes of any cash dividends or distributions made in a calendar quarter, such amount shall be reduced by the aggregate amount of per share cash dividends or distributions that were previously made to all or substantially holders of Common Stock during such calendar quarter (y) in no event shall T be lower than $0.00 and (z) the Dividend Threshold will be adjusted in the same manner as, and at the same time and for the same events for which, the Exchange Price is adjusted as a result of the operation of Section 5.05(A) (other than this Section 5.05(A)(iv));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i/>
              </w:rPr>
              <w:t>D</w:t>
            </w:r>
            <w:r>
              <w:rPr/>
              <w:t>     =</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amount distributed per share of Common Stock in such dividend or distribution;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w:t>
      </w:r>
      <w:r>
        <w:rPr>
          <w:rFonts w:ascii="Times New Roman" w:hAnsi="Times New Roman"/>
          <w:i/>
          <w:sz w:val="20"/>
        </w:rPr>
        <w:t>D</w:t>
      </w:r>
      <w:r>
        <w:rPr>
          <w:rFonts w:ascii="Times New Roman" w:hAnsi="Times New Roman"/>
          <w:sz w:val="20"/>
        </w:rPr>
        <w:t xml:space="preserve"> is equal to or greater than </w:t>
      </w:r>
      <w:r>
        <w:rPr>
          <w:rFonts w:ascii="Times New Roman" w:hAnsi="Times New Roman"/>
          <w:i/>
          <w:sz w:val="20"/>
        </w:rPr>
        <w:t>SP</w:t>
      </w:r>
      <w:r>
        <w:rPr>
          <w:rFonts w:ascii="Times New Roman" w:hAnsi="Times New Roman"/>
          <w:sz w:val="20"/>
        </w:rPr>
        <w:t xml:space="preserve">, then, in lieu of the foregoing adjustment to the Exchange Rate, each Holder will receive, for each $1,000 principal amount of Notes held by such Holder on the record date for such dividend or distribution, at the same time and on the same terms as holders of Common Stock, and without having to Exchange such Notes, the amount of cash that such Holder would have received in such dividend or distribution if such Holder had owned, on such record date, a number of shares of Common Stock equal to the Exchange Rate in effect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such dividend or distribution is declared but not made or paid, the Exchange Rate will be readjusted to the Exchange Rate that would then be in effect had the adjustment been made on the basis of only the dividend or distribution, if any, actually made or paid.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Tender Offers or Exchange Offers</w:t>
      </w:r>
      <w:r>
        <w:rPr>
          <w:rFonts w:ascii="Times New Roman" w:hAnsi="Times New Roman"/>
          <w:sz w:val="20"/>
        </w:rPr>
        <w:t>. If the Parent Guarantor, the Company or any of their respective Subsidiaries makes a payment in respect of a tender offer or exchange offer for shares of Common Stock, which tender offer or exchange offer is subject to the then-applicable tender offer rules under the Exchange Act (other than solely pursuant to an odd-lot tender offer pursuant to Rule 13e-4(h)(5) under the Exchange Act), and the value (determined as of the Expiration Time by the Parent Guarantor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 w:hAnsi="Times New Roman"/>
          <w:b/>
          <w:sz w:val="20"/>
        </w:rPr>
        <w:t>Expiration Date</w:t>
      </w:r>
      <w:r>
        <w:rPr>
          <w:rFonts w:ascii="Times New Roman" w:hAnsi="Times New Roman"/>
          <w:sz w:val="20"/>
        </w:rPr>
        <w:t xml:space="preserve">”) on which tenders or exchanges may be made pursuant to such tender or exchange offer (as it may be amended),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2105025"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05025" cy="4572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Close of Business on the last Trading Day of the Tender/Exchange Offer Valuation Period for such tender or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Close of Business on the last Trading Day of the Tender/Exchange Offer Valuation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AC</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value (determined as of the time (the “Expiration Time”) such tender or exchange offer expires by the Parent Guarantor in good faith and in a commercially reasonable manner) of all cash and other consideration paid or payable for shares of Common Stock purchased or exchanged in such tender or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OS0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immediately before the Expiration Time (including all shares of Common Stock accepted for purchase or exchange in such tender or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OS1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immediately after the Expiration Time (excluding all shares of Common Stock accepted for purchase or exchange in such tender or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SP</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Last Reported Sale Prices per share of Common Stock over the ten (10) consecutive Trading Day period (the “Tender/Exchange Offer Valuation Period”) beginning on, and including, the Trading Day immediately after the Expiration Date;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Exchange Rate will in no event be adjusted down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except to the extent provided in the immediately following paragraph.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if any VWAP Trading Day of the Observation Period for a Note to be Exchanged occurs during the Tender/Exchange Offer Valuation Period for such tender or exchange offer, then, solely for purposes of determining the Exchange Rate for such VWAP Trading Day for such Exchange, such Tender/Exchange Offer Valuation Period will be deemed to consist of the Trading Days occurring in the period from, and including, the Trading Day immediately after the Expiration Date for such tender or exchange offer to, and including, such VWAP Trading Day. </w:t>
      </w:r>
    </w:p>
    <w:p>
      <w:pPr>
        <w:pStyle w:val="TextBody"/>
        <w:bidi w:val="0"/>
        <w:spacing w:before="240" w:after="0"/>
        <w:jc w:val="left"/>
        <w:rPr>
          <w:rFonts w:ascii="Times New Roman" w:hAnsi="Times New Roman"/>
          <w:sz w:val="20"/>
        </w:rPr>
      </w:pPr>
      <w:r>
        <w:rPr>
          <w:rFonts w:ascii="Times New Roman" w:hAnsi="Times New Roman"/>
          <w:sz w:val="20"/>
        </w:rPr>
        <w:t xml:space="preserve">To the extent such tender or exchange offer is announced but not consummated (including as a result of the Parent Guarantor being precluded from consummating such tender or exchange offer under applicable law), or any purchases or exchanges of shares of Common Stock in such tender or exchange offer are rescinded, the Exchange Rate will be readjusted to the Exchange Rate that would then be in effect had the adjustment been made on the basis of only the purchases or exchanges of shares of Common Stock, if any, actually made, and not rescinded, in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Adjustments in Certain Cases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Where Holders Participate in the Transaction or Event Without Exchange</w:t>
      </w:r>
      <w:r>
        <w:rPr>
          <w:rFonts w:ascii="Times New Roman" w:hAnsi="Times New Roman"/>
          <w:sz w:val="20"/>
        </w:rPr>
        <w:t xml:space="preserve">.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Company will not be obligated to adjust the Exchange Rate on account of a transaction or other event otherwise requiring an adjustment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(other than a stock split or combination of the type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or a tender or exchange offer of the type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if each Holder participates, at the same time and on the same terms as holders of Common Stock, and solely by virtue of being a Holder of Notes, in such transaction or event without having to Exchange such Holder’s Notes and as if such Holder held a number of shares of Common Stock equal to the product of (i) the Exchange Rate in effect on the related record date; and (ii) the aggregate principal amount (expressed in thousands) of Notes held by such Holder on such date.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Certain Events</w:t>
      </w:r>
      <w:r>
        <w:rPr>
          <w:rFonts w:ascii="Times New Roman" w:hAnsi="Times New Roman"/>
          <w:sz w:val="20"/>
        </w:rPr>
        <w:t xml:space="preserve">. The Company will not be required to adjust the Exchange Rate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Without limiting the foregoing, the Company will not be obligated to adjust the Exchange Rate on account of: </w:t>
      </w:r>
    </w:p>
    <w:p>
      <w:pPr>
        <w:pStyle w:val="TextBody"/>
        <w:bidi w:val="0"/>
        <w:spacing w:before="120" w:after="0"/>
        <w:jc w:val="left"/>
        <w:rPr>
          <w:rFonts w:ascii="Times New Roman" w:hAnsi="Times New Roman"/>
          <w:sz w:val="20"/>
        </w:rPr>
      </w:pPr>
      <w:r>
        <w:rPr>
          <w:rFonts w:ascii="Times New Roman" w:hAnsi="Times New Roman"/>
          <w:sz w:val="20"/>
        </w:rPr>
        <w:t xml:space="preserve">(1) except as otherwise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the sale of shares of Common Stock for a purchase price that is less than the market price per share of Common Stock or less than the Exchange Price; </w:t>
      </w:r>
    </w:p>
    <w:p>
      <w:pPr>
        <w:pStyle w:val="TextBody"/>
        <w:bidi w:val="0"/>
        <w:spacing w:before="240" w:after="0"/>
        <w:jc w:val="left"/>
        <w:rPr>
          <w:rFonts w:ascii="Times New Roman" w:hAnsi="Times New Roman"/>
          <w:sz w:val="20"/>
        </w:rPr>
      </w:pPr>
      <w:r>
        <w:rPr>
          <w:rFonts w:ascii="Times New Roman" w:hAnsi="Times New Roman"/>
          <w:sz w:val="20"/>
        </w:rPr>
        <w:t xml:space="preserve">(2) the issuance of any shares of Common Stock pursuant to any present or future plan providing for the reinvestment of dividends or interest payable on the Parent Guarantor’s securities and the investment of additional optional amounts in shares of Common Stock under any such plan; </w:t>
      </w:r>
    </w:p>
    <w:p>
      <w:pPr>
        <w:pStyle w:val="TextBody"/>
        <w:bidi w:val="0"/>
        <w:spacing w:before="240" w:after="0"/>
        <w:jc w:val="left"/>
        <w:rPr>
          <w:rFonts w:ascii="Times New Roman" w:hAnsi="Times New Roman"/>
          <w:sz w:val="20"/>
        </w:rPr>
      </w:pPr>
      <w:r>
        <w:rPr>
          <w:rFonts w:ascii="Times New Roman" w:hAnsi="Times New Roman"/>
          <w:sz w:val="20"/>
        </w:rPr>
        <w:t xml:space="preserve">(3) the issuance of any shares of Common Stock or options or rights to purchase shares of Common Stock pursuant to any present or future employee, director or consultant benefit plan or program of, or assumed by, the Company, the Parent Guarantor or any of the Company’s or the Parent Guarantor’s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(4) the issuance of any shares of Common Stock pursuant to any option, warrant, right or convertible or exchangeable security of the Parent Guarantor or the Company outstanding as of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(5) the repurchase of any shares of Common Stock pursuant to an open market share purchase program or other buyback transaction, including structured or derivative transactions such as accelerated share repurchase transactions or similar forward derivatives, in each case that is not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solely a change in the par value of the Common Stock; or </w:t>
      </w:r>
    </w:p>
    <w:p>
      <w:pPr>
        <w:pStyle w:val="TextBody"/>
        <w:bidi w:val="0"/>
        <w:spacing w:before="240" w:after="0"/>
        <w:jc w:val="left"/>
        <w:rPr>
          <w:rFonts w:ascii="Times New Roman" w:hAnsi="Times New Roman"/>
          <w:sz w:val="20"/>
        </w:rPr>
      </w:pPr>
      <w:r>
        <w:rPr>
          <w:rFonts w:ascii="Times New Roman" w:hAnsi="Times New Roman"/>
          <w:sz w:val="20"/>
        </w:rPr>
        <w:t xml:space="preserve">(7) accrued and unpaid interest on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Adjustment Deferral</w:t>
      </w:r>
      <w:r>
        <w:rPr>
          <w:rFonts w:ascii="Times New Roman" w:hAnsi="Times New Roman"/>
          <w:sz w:val="20"/>
        </w:rPr>
        <w:t xml:space="preserve">. If an adjustment to the Exchange Rate otherwise required by this </w:t>
      </w:r>
      <w:r>
        <w:rPr>
          <w:rFonts w:ascii="Times New Roman" w:hAnsi="Times New Roman"/>
          <w:b/>
          <w:sz w:val="20"/>
        </w:rPr>
        <w:t>Article 5</w:t>
      </w:r>
      <w:r>
        <w:rPr>
          <w:rFonts w:ascii="Times New Roman" w:hAnsi="Times New Roman"/>
          <w:sz w:val="20"/>
        </w:rPr>
        <w:t xml:space="preserve"> would result in a change of less than one percent (1%) to the Exchange Rate, then, notwithstanding anything to the contrary in this </w:t>
      </w:r>
      <w:r>
        <w:rPr>
          <w:rFonts w:ascii="Times New Roman" w:hAnsi="Times New Roman"/>
          <w:b/>
          <w:sz w:val="20"/>
        </w:rPr>
        <w:t>Article 5</w:t>
      </w:r>
      <w:r>
        <w:rPr>
          <w:rFonts w:ascii="Times New Roman" w:hAnsi="Times New Roman"/>
          <w:sz w:val="20"/>
        </w:rPr>
        <w:t xml:space="preserve">,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Exchange Rate; (ii) the Exchange Date of, or any VWAP Trading Day of an Observation Period for, any Note; (iii) the date a Fundamental Change or Make-Whole Fundamental Change occurs; (iv) the date the Company calls any Notes for Redemption; and (v) May 15, 2031.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Adjustments Not Yet Effective</w:t>
      </w:r>
      <w:r>
        <w:rPr>
          <w:rFonts w:ascii="Times New Roman" w:hAnsi="Times New Roman"/>
          <w:sz w:val="20"/>
        </w:rPr>
        <w:t xml:space="preserve">. Notwithstanding anything to the contrary in this Indenture or the Notes, if: </w:t>
      </w:r>
    </w:p>
    <w:p>
      <w:pPr>
        <w:pStyle w:val="TextBody"/>
        <w:bidi w:val="0"/>
        <w:spacing w:before="120" w:after="0"/>
        <w:jc w:val="left"/>
        <w:rPr>
          <w:rFonts w:ascii="Times New Roman" w:hAnsi="Times New Roman"/>
          <w:sz w:val="20"/>
        </w:rPr>
      </w:pPr>
      <w:r>
        <w:rPr>
          <w:rFonts w:ascii="Times New Roman" w:hAnsi="Times New Roman"/>
          <w:sz w:val="20"/>
        </w:rPr>
        <w:t xml:space="preserve">(i) a Note is to be Exchanged and the Cash Percentage applicable to such Exchange is less than 100%; </w:t>
      </w:r>
    </w:p>
    <w:p>
      <w:pPr>
        <w:pStyle w:val="TextBody"/>
        <w:bidi w:val="0"/>
        <w:spacing w:before="240" w:after="0"/>
        <w:jc w:val="left"/>
        <w:rPr>
          <w:rFonts w:ascii="Times New Roman" w:hAnsi="Times New Roman"/>
          <w:sz w:val="20"/>
        </w:rPr>
      </w:pPr>
      <w:r>
        <w:rPr>
          <w:rFonts w:ascii="Times New Roman" w:hAnsi="Times New Roman"/>
          <w:sz w:val="20"/>
        </w:rPr>
        <w:t xml:space="preserve">(ii) the record date, effective date or Expiration Time for any event that requires an adjustment to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has occurred on or before any VWAP Trading Day in the Observation Period for such Exchange, but an adjustment to the Exchange Rate for such event has not yet become effective as of such VWAP Trading Day; </w:t>
      </w:r>
    </w:p>
    <w:p>
      <w:pPr>
        <w:pStyle w:val="TextBody"/>
        <w:bidi w:val="0"/>
        <w:spacing w:before="240" w:after="0"/>
        <w:jc w:val="left"/>
        <w:rPr>
          <w:rFonts w:ascii="Times New Roman" w:hAnsi="Times New Roman"/>
          <w:sz w:val="20"/>
        </w:rPr>
      </w:pPr>
      <w:r>
        <w:rPr>
          <w:rFonts w:ascii="Times New Roman" w:hAnsi="Times New Roman"/>
          <w:sz w:val="20"/>
        </w:rPr>
        <w:t xml:space="preserve">(iii) the Exchange Consideration due in respect of such VWAP Trading Day includes any whole or fractional shares of Common Stock; and </w:t>
      </w:r>
    </w:p>
    <w:p>
      <w:pPr>
        <w:pStyle w:val="TextBody"/>
        <w:bidi w:val="0"/>
        <w:spacing w:before="240" w:after="0"/>
        <w:jc w:val="left"/>
        <w:rPr>
          <w:rFonts w:ascii="Times New Roman" w:hAnsi="Times New Roman"/>
          <w:sz w:val="20"/>
        </w:rPr>
      </w:pPr>
      <w:r>
        <w:rPr>
          <w:rFonts w:ascii="Times New Roman" w:hAnsi="Times New Roman"/>
          <w:sz w:val="20"/>
        </w:rPr>
        <w:t xml:space="preserve">(iv) such shares are not entitled to participate in such event (because they were not held on the related record date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then, solely for purposes of such Exchange, the Company will, without duplication, give effect to such adjustment on such VWAP Trading Day. In such case, if the date on which the Company is otherwise required to deliver the consideration due upon such Exchange is before the first date on which the amount of such adjustment can be determined, then the Company will delay the settlement of such Exchange until the second (2nd) Business Day after such first date. </w:t>
      </w:r>
    </w:p>
    <w:p>
      <w:pPr>
        <w:pStyle w:val="TextBody"/>
        <w:bidi w:val="0"/>
        <w:spacing w:before="240" w:after="0"/>
        <w:jc w:val="left"/>
        <w:rPr>
          <w:rFonts w:ascii="Times New Roman" w:hAnsi="Times New Roman"/>
          <w:sz w:val="20"/>
        </w:rPr>
      </w:pPr>
      <w:r>
        <w:rPr>
          <w:rFonts w:ascii="Times New Roman" w:hAnsi="Times New Roman"/>
          <w:sz w:val="20"/>
        </w:rPr>
        <w:t xml:space="preserve">(E) Exchange Rate Adjustments Where Exchanging Holders Participate in the Relevant Transaction or Event. Notwithstanding anything to the contrary in this Indenture or the Notes, if: </w:t>
      </w:r>
    </w:p>
    <w:p>
      <w:pPr>
        <w:pStyle w:val="TextBody"/>
        <w:bidi w:val="0"/>
        <w:spacing w:before="120" w:after="0"/>
        <w:jc w:val="left"/>
        <w:rPr>
          <w:rFonts w:ascii="Times New Roman" w:hAnsi="Times New Roman"/>
          <w:sz w:val="20"/>
        </w:rPr>
      </w:pPr>
      <w:r>
        <w:rPr>
          <w:rFonts w:ascii="Times New Roman" w:hAnsi="Times New Roman"/>
          <w:sz w:val="20"/>
        </w:rPr>
        <w:t xml:space="preserve">(i) an Exchange Rate adjustment for any dividend or distribution becomes effective on any Ex-Dividend Date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 Note is to be Exchanged and the Cash Percentage applicable to such Exchange is less than 100%; </w:t>
      </w:r>
    </w:p>
    <w:p>
      <w:pPr>
        <w:pStyle w:val="TextBody"/>
        <w:bidi w:val="0"/>
        <w:spacing w:before="240" w:after="0"/>
        <w:jc w:val="left"/>
        <w:rPr>
          <w:rFonts w:ascii="Times New Roman" w:hAnsi="Times New Roman"/>
          <w:sz w:val="20"/>
        </w:rPr>
      </w:pPr>
      <w:r>
        <w:rPr>
          <w:rFonts w:ascii="Times New Roman" w:hAnsi="Times New Roman"/>
          <w:sz w:val="20"/>
        </w:rPr>
        <w:t xml:space="preserve">(iii) any VWAP Trading Day in the Observation Period for such Exchange occurs on or after such Ex-Dividend Date and on or before the related record date; </w:t>
      </w:r>
    </w:p>
    <w:p>
      <w:pPr>
        <w:pStyle w:val="TextBody"/>
        <w:bidi w:val="0"/>
        <w:spacing w:before="240" w:after="0"/>
        <w:jc w:val="left"/>
        <w:rPr>
          <w:rFonts w:ascii="Times New Roman" w:hAnsi="Times New Roman"/>
          <w:sz w:val="20"/>
        </w:rPr>
      </w:pPr>
      <w:r>
        <w:rPr>
          <w:rFonts w:ascii="Times New Roman" w:hAnsi="Times New Roman"/>
          <w:sz w:val="20"/>
        </w:rPr>
        <w:t xml:space="preserve">(iv) the Exchange Consideration due in respect of such VWAP Trading Day includes any whole or fractional shares of Common Stock based on an Exchange Rate that is adjusted for such dividend or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(v) such shares would be entitled to participate in such dividend or distribution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then the Exchange Rate adjustment relating to such Ex-Dividend Date will be made for such Exchange in respect of such VWAP Trading Day, but the shares of Common Stock issuable with respect to such VWAP Trading Day based on such adjusted Exchange Rate will not be entitled to participate in such dividend or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Stockholder Rights Plans</w:t>
      </w:r>
      <w:r>
        <w:rPr>
          <w:rFonts w:ascii="Times New Roman" w:hAnsi="Times New Roman"/>
          <w:sz w:val="20"/>
        </w:rPr>
        <w:t xml:space="preserve">. If any shares of Common Stock are to be delivered upon Exchange of any Note and, at the time of such Exchange, the Parent Guarantor has in effect any stockholder rights plan, then the Holder of such Note will be entitled to receive, in addition to, and concurrently with the delivery of, the Exchange Consideration otherwise payable under this Indenture upon such Exchange, the rights set forth in such stockholder rights plan, unless such rights have separated from the Common Stock at such time, in which case, and only in such case, the Exchange Rate will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5.05(A)(iii)(1)</w:t>
      </w:r>
      <w:r>
        <w:rPr>
          <w:rFonts w:ascii="Times New Roman" w:hAnsi="Times New Roman"/>
          <w:sz w:val="20"/>
        </w:rPr>
        <w:t xml:space="preserve"> on account of such separation as if, at the time of such separation, the Parent Guarantor had made a distribution of the type referred to in such Section to all holders of the Common Stock, subject to potential readjustment in accordance with the last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5.05(A)(iii)(1)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Limitation on Effecting Transactions Resulting in Certain Adjustments</w:t>
      </w:r>
      <w:r>
        <w:rPr>
          <w:rFonts w:ascii="Times New Roman" w:hAnsi="Times New Roman"/>
          <w:sz w:val="20"/>
        </w:rPr>
        <w:t xml:space="preserve">. The Company and the Parent Guarantor will not engage in or be a party to any transaction or event that would require the Exchange Rate to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to an amount that would result in the Exchange Price per share of Common Stock being less than the par value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Equitable Adjustments to Prices</w:t>
      </w:r>
      <w:r>
        <w:rPr>
          <w:rFonts w:ascii="Times New Roman" w:hAnsi="Times New Roman"/>
          <w:sz w:val="20"/>
        </w:rPr>
        <w:t xml:space="preserve">. Whenever any provision of this Indenture requires the Company to calculate the average of the Last Reported Sale Prices, or any function thereof, over a period of multiple days (including to calculate the Stock Price or an adjustment to the Exchange Rate), or to calculate Daily VWAPs, or any function thereof, over an Observation Period, the Company will make appropriate adjustments, if any, to such calculations to account for any adjustment to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that becomes effective, or any event requiring such an adjustment to the Exchange Rate where the Ex-Dividend Date or effective date, as applicable, of such event occurs, at any time during such period or Observation Period,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Calculation of Number of Outstanding Shares of Common Stock</w:t>
      </w:r>
      <w:r>
        <w:rPr>
          <w:rFonts w:ascii="Times New Roman" w:hAnsi="Times New Roman"/>
          <w:sz w:val="20"/>
        </w:rPr>
        <w:t xml:space="preserve">.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number of 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Calculations</w:t>
      </w:r>
      <w:r>
        <w:rPr>
          <w:rFonts w:ascii="Times New Roman" w:hAnsi="Times New Roman"/>
          <w:sz w:val="20"/>
        </w:rPr>
        <w:t xml:space="preserve">. All calculations with respect to the Exchange Rate and adjustments thereto will be made to the nearest 1/10,000th of a share of Common Stock (with 5/100,000ths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Notice of Exchange Rate Adjustments</w:t>
      </w:r>
      <w:r>
        <w:rPr>
          <w:rFonts w:ascii="Times New Roman" w:hAnsi="Times New Roman"/>
          <w:sz w:val="20"/>
        </w:rPr>
        <w:t xml:space="preserve">. Upon the effectiveness of any adjustment to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Company will promptly send notice to the Holders, the Trustee and the Exchange Agent containing (i) a brief description of the transaction or other event on account of which such adjustment was made; (ii) the Exchange Rate in effect immediately after such adjustment; and (iii) the effective time of such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5.06 VOLUNTARY ADJUSTMENTS.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To the extent permitted by law and applicable stock exchange rules, the Company, from time to time, may (but is not required to) increase the Exchange Rate by any amount if (i) the Company’s or the Parent Guarantor’s Board of Directors determines that such increase is either (x) in the best interest of the Company or the Parent Guarantor;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Voluntary Increases</w:t>
      </w:r>
      <w:r>
        <w:rPr>
          <w:rFonts w:ascii="Times New Roman" w:hAnsi="Times New Roman"/>
          <w:sz w:val="20"/>
        </w:rPr>
        <w:t xml:space="preserve">. If the Board of Directors determines to increase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5.06(A)</w:t>
      </w:r>
      <w:r>
        <w:rPr>
          <w:rFonts w:ascii="Times New Roman" w:hAnsi="Times New Roman"/>
          <w:sz w:val="20"/>
        </w:rPr>
        <w:t xml:space="preserve">, then, no later than the first Business Day of the related twenty (20) Business Day period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5.06(A)</w:t>
      </w:r>
      <w:r>
        <w:rPr>
          <w:rFonts w:ascii="Times New Roman" w:hAnsi="Times New Roman"/>
          <w:sz w:val="20"/>
        </w:rPr>
        <w:t xml:space="preserve">, the Company will send notice to each Holder, the Trustee and the Exchange Agent of such increase, the amount thereof and the period during which such increase will be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5.07 ADJUSTMENTS TO THE EXCHANGE RATE IN CONNECTION WITH A MAKE-WHOLE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a Make-Whole Fundamental Change occurs and the Exchange Date for the Exchange of a Note occurs during the related Make-Whole Fundamental Change Exchange Period, then,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the Exchange Rate applicable to such Exchange will be increased by a number of shares (the “</w:t>
      </w:r>
      <w:r>
        <w:rPr>
          <w:rFonts w:ascii="Times New Roman" w:hAnsi="Times New Roman"/>
          <w:b/>
          <w:sz w:val="20"/>
        </w:rPr>
        <w:t>Additional Shares</w:t>
      </w:r>
      <w:r>
        <w:rPr>
          <w:rFonts w:ascii="Times New Roman" w:hAnsi="Times New Roman"/>
          <w:sz w:val="20"/>
        </w:rPr>
        <w:t xml:space="preserve">”) set forth in the table below corresponding (after interpolation as provided in, and subject to, the provisions below) to the Make-Whole Fundamental Change Effective Date and the Stock Price of such Make-Whole Fundamental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bidi w:val="0"/>
        <w:jc w:val="left"/>
        <w:rPr/>
      </w:pPr>
      <w:r>
        <w:rPr/>
      </w:r>
    </w:p>
    <w:tbl>
      <w:tblPr>
        <w:tblW w:w="11915" w:type="dxa"/>
        <w:jc w:val="center"/>
        <w:tblInd w:w="0" w:type="dxa"/>
        <w:tblLayout w:type="fixed"/>
        <w:tblCellMar>
          <w:top w:w="0" w:type="dxa"/>
          <w:left w:w="0" w:type="dxa"/>
          <w:bottom w:w="0" w:type="dxa"/>
          <w:right w:w="0" w:type="dxa"/>
        </w:tblCellMar>
      </w:tblPr>
      <w:tblGrid>
        <w:gridCol w:w="3635"/>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855" w:type="dxa"/>
            <w:gridSpan w:val="3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Stock Price</w:t>
            </w:r>
          </w:p>
        </w:tc>
        <w:tc>
          <w:tcPr>
            <w:tcW w:w="60" w:type="dxa"/>
            <w:tcBorders/>
            <w:vAlign w:val="bottom"/>
          </w:tcPr>
          <w:p>
            <w:pPr>
              <w:pStyle w:val="TableContents"/>
              <w:bidi w:val="0"/>
              <w:spacing w:before="0" w:after="283"/>
              <w:jc w:val="left"/>
              <w:rPr/>
            </w:pPr>
            <w:r>
              <w:rPr/>
              <w:t> </w:t>
            </w:r>
          </w:p>
        </w:tc>
      </w:tr>
      <w:tr>
        <w:trPr/>
        <w:tc>
          <w:tcPr>
            <w:tcW w:w="36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Make-Whole Fundamental Change Effective Date</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$23.49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$24.50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$26.00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$28.19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$36.64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$48.00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$55.00</w:t>
            </w:r>
          </w:p>
        </w:tc>
        <w:tc>
          <w:tcPr>
            <w:tcW w:w="60" w:type="dxa"/>
            <w:tcBorders/>
            <w:vAlign w:val="bottom"/>
          </w:tcPr>
          <w:p>
            <w:pPr>
              <w:pStyle w:val="TableContents"/>
              <w:bidi w:val="0"/>
              <w:spacing w:before="0" w:after="283"/>
              <w:jc w:val="left"/>
              <w:rPr/>
            </w:pPr>
            <w:r>
              <w:rPr/>
              <w:t> </w:t>
            </w:r>
          </w:p>
        </w:tc>
      </w:tr>
      <w:tr>
        <w:trPr/>
        <w:tc>
          <w:tcPr>
            <w:tcW w:w="3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7.0952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6.1959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5.0588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3.7421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2.1556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0.3143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0.0127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3635" w:type="dxa"/>
            <w:tcBorders/>
          </w:tcPr>
          <w:p>
            <w:pPr>
              <w:pStyle w:val="TableContents"/>
              <w:bidi w:val="0"/>
              <w:spacing w:before="0" w:after="0"/>
              <w:jc w:val="left"/>
              <w:rPr>
                <w:rFonts w:ascii="Times New Roman" w:hAnsi="Times New Roman"/>
                <w:sz w:val="20"/>
              </w:rPr>
            </w:pPr>
            <w:r>
              <w:rPr>
                <w:rFonts w:ascii="Times New Roman" w:hAnsi="Times New Roman"/>
                <w:sz w:val="20"/>
              </w:rPr>
              <w:t>August 15,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7.0952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6.1959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5.0588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3.7421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0.9823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0.2998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0.0127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3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7.0952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6.1959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5.0588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3.7144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2.0222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0.8693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0.2324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3635" w:type="dxa"/>
            <w:tcBorders/>
          </w:tcPr>
          <w:p>
            <w:pPr>
              <w:pStyle w:val="TableContents"/>
              <w:bidi w:val="0"/>
              <w:spacing w:before="0" w:after="0"/>
              <w:jc w:val="left"/>
              <w:rPr>
                <w:rFonts w:ascii="Times New Roman" w:hAnsi="Times New Roman"/>
                <w:sz w:val="20"/>
              </w:rPr>
            </w:pPr>
            <w:r>
              <w:rPr>
                <w:rFonts w:ascii="Times New Roman" w:hAnsi="Times New Roman"/>
                <w:sz w:val="20"/>
              </w:rPr>
              <w:t>August 15, 2029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7.0952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6.1959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4.9238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3.4005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1.7009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0.6329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0.1150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3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2030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7.0952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5.8045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4.2838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2.6673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1.0616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0.2574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3635" w:type="dxa"/>
            <w:tcBorders/>
          </w:tcPr>
          <w:p>
            <w:pPr>
              <w:pStyle w:val="TableContents"/>
              <w:bidi w:val="0"/>
              <w:spacing w:before="0" w:after="0"/>
              <w:jc w:val="left"/>
              <w:rPr>
                <w:rFonts w:ascii="Times New Roman" w:hAnsi="Times New Roman"/>
                <w:sz w:val="20"/>
              </w:rPr>
            </w:pPr>
            <w:r>
              <w:rPr>
                <w:rFonts w:ascii="Times New Roman" w:hAnsi="Times New Roman"/>
                <w:sz w:val="20"/>
              </w:rPr>
              <w:t>August 15, 2031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7.0952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5.3400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2.9854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120" w:after="0"/>
        <w:jc w:val="left"/>
        <w:rPr>
          <w:rFonts w:ascii="Times New Roman" w:hAnsi="Times New Roman"/>
          <w:sz w:val="20"/>
        </w:rPr>
      </w:pPr>
      <w:r>
        <w:rPr>
          <w:rFonts w:ascii="Times New Roman" w:hAnsi="Times New Roman"/>
          <w:sz w:val="20"/>
        </w:rPr>
        <w:t xml:space="preserve">(i)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(ii) if the Stock Price is greater than $55.00 (subject to adjustment in the same manner as the Stock Prices set forth in the column headings of the table above are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5.07(B)</w:t>
      </w:r>
      <w:r>
        <w:rPr>
          <w:rFonts w:ascii="Times New Roman" w:hAnsi="Times New Roman"/>
          <w:sz w:val="20"/>
        </w:rPr>
        <w:t xml:space="preserve">), or less than $23.49 (subject to adjustment in the same manner), per share, then no Additional Shares will be added to the Exchange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Indenture or the Notes, in no event will the Exchange Rate be increased to an amount that exceeds 42.5713 shares of Common Stock per $1,000 principal amount of Notes, which amount is subject to adjustment in the same manner as, and at the same time and for the same events for which, the Exchange Rate is required to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(x) the sending of a Redemption Notice will constitute a Make-Whole Fundamental Change only with respect to the Notes called (or deemed called) for Redemption pursuant to such Redemption Notice, and not with respect to any other Notes; and (y) the Exchange Rate applicable to the Notes not so called (or deemed called) for Redemption will not be subject to increase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on account of such Redemption Notice.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Adjustment of Stock Prices and Number of Additional Shares</w:t>
      </w:r>
      <w:r>
        <w:rPr>
          <w:rFonts w:ascii="Times New Roman" w:hAnsi="Times New Roman"/>
          <w:sz w:val="20"/>
        </w:rPr>
        <w:t>. The Stock Prices in the first row (</w:t>
      </w:r>
      <w:r>
        <w:rPr>
          <w:rFonts w:ascii="Times New Roman" w:hAnsi="Times New Roman"/>
          <w:i/>
          <w:sz w:val="20"/>
        </w:rPr>
        <w:t>i.e.</w:t>
      </w:r>
      <w:r>
        <w:rPr>
          <w:rFonts w:ascii="Times New Roman" w:hAnsi="Times New Roman"/>
          <w:sz w:val="20"/>
        </w:rPr>
        <w:t xml:space="preserve">, the column headers) of the table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5.07(A)</w:t>
      </w:r>
      <w:r>
        <w:rPr>
          <w:rFonts w:ascii="Times New Roman" w:hAnsi="Times New Roman"/>
          <w:sz w:val="20"/>
        </w:rPr>
        <w:t xml:space="preserve"> will be adjusted in the same manner as, and at the same time and for the same events for which, the Exchange Price is adjusted as a result of the operation of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numbers of Additional Shares in the table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5.07(A)</w:t>
      </w:r>
      <w:r>
        <w:rPr>
          <w:rFonts w:ascii="Times New Roman" w:hAnsi="Times New Roman"/>
          <w:sz w:val="20"/>
        </w:rPr>
        <w:t xml:space="preserve"> will be adjusted in the same manner as, and at the same time and for the same events for which, the Exchange Rate is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the Occurrence of a Make-Whole Fundamental Change</w:t>
      </w:r>
      <w:r>
        <w:rPr>
          <w:rFonts w:ascii="Times New Roman" w:hAnsi="Times New Roman"/>
          <w:sz w:val="20"/>
        </w:rPr>
        <w:t xml:space="preserve">. The Company will notify the Holders, the Trustee and the Exchange Agent of each Make-Whole Fundamental Change (i) occurring pursuant to clause (A) of the definition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and (ii) occurring pursuant to clause (B) of the definition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5.08 TRANSFER OF NOTES TO BE EXCHANGED TO A THIRD PARTY FOR SETTLEMENT.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5</w:t>
      </w:r>
      <w:r>
        <w:rPr>
          <w:rFonts w:ascii="Times New Roman" w:hAnsi="Times New Roman"/>
          <w:sz w:val="20"/>
        </w:rPr>
        <w:t xml:space="preserve">, and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if a Note is submitted for Exchange, the Company may elect to arrange to have such Note transferred for settlement, in lieu of Exchange, to a third party financial institution designated by the Company that will pay and deliver, as the case may be, the consideration due upon such Exchange in lieu of the Company’s payment and delivery of the same. To make such election, the Company must send notice of such election to the Holder of such Note, the Trustee and the Exchange Agent before the Close of Business on the Business Day immediately following the Exchange Date for such Note. If the Company has made such election,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no later than the Business Day immediately following such Exchange Date, the Company must deliver (or cause the Exchange Agent to deliver) such Note, together with delivery instructions for the Exchange Consideration due upon such Exchange (including wire instructions, if applicable), to a financial institution designated by the Company that has agreed to deliver such Exchange Consideration in the manner and at the time the Company would have had to deliver the same pursuant to this </w:t>
      </w:r>
      <w:r>
        <w:rPr>
          <w:rFonts w:ascii="Times New Roman" w:hAnsi="Times New Roman"/>
          <w:b/>
          <w:sz w:val="20"/>
        </w:rPr>
        <w:t>Article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such Note is a Global Note, then (i) such designated institution will send written confirmation to the Exchange Agent promptly after wiring the cash Exchange Consideration, if any, and delivering any other Exchange Consideration, due upon such Exchange to the Holder of such Note; and (ii) the Exchange Agent will as soon as reasonably practicable thereafter contact such Holder’s custodian with the Depositary to confirm receipt of the same; and </w:t>
      </w:r>
    </w:p>
    <w:p>
      <w:pPr>
        <w:pStyle w:val="TextBody"/>
        <w:bidi w:val="0"/>
        <w:spacing w:before="240" w:after="0"/>
        <w:jc w:val="left"/>
        <w:rPr>
          <w:rFonts w:ascii="Times New Roman" w:hAnsi="Times New Roman"/>
          <w:sz w:val="20"/>
        </w:rPr>
      </w:pPr>
      <w:r>
        <w:rPr>
          <w:rFonts w:ascii="Times New Roman" w:hAnsi="Times New Roman"/>
          <w:sz w:val="20"/>
        </w:rPr>
        <w:t xml:space="preserve">(C) such Note will not cease to be outstanding by reason of such transfer to a third party for settlement;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financial institution does not accept such Note or fails to timely deliver such Exchange Consideration, then the Company will be responsible for delivering such Exchange Consideration in the manner and at the time provided in this </w:t>
      </w:r>
      <w:r>
        <w:rPr>
          <w:rFonts w:ascii="Times New Roman" w:hAnsi="Times New Roman"/>
          <w:b/>
          <w:sz w:val="20"/>
        </w:rPr>
        <w:t>Article 5</w:t>
      </w:r>
      <w:r>
        <w:rPr>
          <w:rFonts w:ascii="Times New Roman" w:hAnsi="Times New Roman"/>
          <w:sz w:val="20"/>
        </w:rPr>
        <w:t xml:space="preserve"> as if the Company had not elected to make a transfer to a third party for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5.09 EFFECT OF COMMON STOCK CHANGE EVENT.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there occurs any: </w:t>
      </w:r>
    </w:p>
    <w:p>
      <w:pPr>
        <w:pStyle w:val="TextBody"/>
        <w:bidi w:val="0"/>
        <w:spacing w:before="120" w:after="0"/>
        <w:jc w:val="left"/>
        <w:rPr>
          <w:rFonts w:ascii="Times New Roman" w:hAnsi="Times New Roman"/>
          <w:sz w:val="20"/>
        </w:rPr>
      </w:pPr>
      <w:r>
        <w:rPr>
          <w:rFonts w:ascii="Times New Roman" w:hAnsi="Times New Roman"/>
          <w:sz w:val="20"/>
        </w:rPr>
        <w:t xml:space="preserve">(i) 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(ii) consolidation, merger, combination or binding or statutory share exchange involving the Parent Guarantor; </w:t>
      </w:r>
    </w:p>
    <w:p>
      <w:pPr>
        <w:pStyle w:val="TextBody"/>
        <w:bidi w:val="0"/>
        <w:spacing w:before="240" w:after="0"/>
        <w:jc w:val="left"/>
        <w:rPr>
          <w:rFonts w:ascii="Times New Roman" w:hAnsi="Times New Roman"/>
          <w:sz w:val="20"/>
        </w:rPr>
      </w:pPr>
      <w:r>
        <w:rPr>
          <w:rFonts w:ascii="Times New Roman" w:hAnsi="Times New Roman"/>
          <w:sz w:val="20"/>
        </w:rPr>
        <w:t xml:space="preserve">(iii) sale, lease or other transfer of all or substantially all of the assets of the Parent Guarantor and its Subsidiaries, taken as a whole, to any Person; or </w:t>
      </w:r>
    </w:p>
    <w:p>
      <w:pPr>
        <w:pStyle w:val="TextBody"/>
        <w:bidi w:val="0"/>
        <w:spacing w:before="240" w:after="0"/>
        <w:jc w:val="left"/>
        <w:rPr>
          <w:rFonts w:ascii="Times New Roman" w:hAnsi="Times New Roman"/>
          <w:sz w:val="20"/>
        </w:rPr>
      </w:pPr>
      <w:r>
        <w:rPr>
          <w:rFonts w:ascii="Times New Roman" w:hAnsi="Times New Roman"/>
          <w:sz w:val="20"/>
        </w:rPr>
        <w:t xml:space="preserve">(iv) other similar event, </w:t>
      </w:r>
    </w:p>
    <w:p>
      <w:pPr>
        <w:pStyle w:val="TextBody"/>
        <w:bidi w:val="0"/>
        <w:spacing w:before="240" w:after="0"/>
        <w:jc w:val="left"/>
        <w:rPr>
          <w:rFonts w:ascii="Times New Roman" w:hAnsi="Times New Roman"/>
          <w:sz w:val="20"/>
        </w:rPr>
      </w:pPr>
      <w:r>
        <w:rPr>
          <w:rFonts w:ascii="Times New Roman" w:hAnsi="Times New Roman"/>
          <w:sz w:val="20"/>
        </w:rPr>
        <w:t>and, as a result of which, the Common Stock is converted into, or is exchanged for, or represents solely the right to receive, other securities, cash or other property, or any combination of the foregoing (such an event, a “</w:t>
      </w:r>
      <w:r>
        <w:rPr>
          <w:rFonts w:ascii="Times New Roman" w:hAnsi="Times New Roman"/>
          <w:b/>
          <w:sz w:val="20"/>
        </w:rPr>
        <w:t>Common Stock Change Event</w:t>
      </w:r>
      <w:r>
        <w:rPr>
          <w:rFonts w:ascii="Times New Roman" w:hAnsi="Times New Roman"/>
          <w:sz w:val="20"/>
        </w:rPr>
        <w:t>,” and such other securities, cash or property, the “</w:t>
      </w:r>
      <w:r>
        <w:rPr>
          <w:rFonts w:ascii="Times New Roman" w:hAnsi="Times New Roman"/>
          <w:b/>
          <w:sz w:val="20"/>
        </w:rPr>
        <w:t>Reference Property</w:t>
      </w:r>
      <w:r>
        <w:rPr>
          <w:rFonts w:ascii="Times New Roman" w:hAnsi="Times New Roman"/>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hAnsi="Times New Roman"/>
          <w:b/>
          <w:sz w:val="20"/>
        </w:rPr>
        <w:t>Reference Property Unit</w:t>
      </w:r>
      <w:r>
        <w:rPr>
          <w:rFonts w:ascii="Times New Roman" w:hAnsi="Times New Roman"/>
          <w:sz w:val="20"/>
        </w:rPr>
        <w:t xml:space="preserve">”), then, notwithstanding anything to the contrary in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(1) from and after the effective time of such Common Stock Change Event, (I) the Exchange Consideration due upon Exchange of any Note, and the conditions to any such Exchange, will be determined in the same manner as if each reference to any number of shares of Common Stock in this </w:t>
      </w:r>
      <w:r>
        <w:rPr>
          <w:rFonts w:ascii="Times New Roman" w:hAnsi="Times New Roman"/>
          <w:b/>
          <w:sz w:val="20"/>
        </w:rPr>
        <w:t>Article 5</w:t>
      </w:r>
      <w:r>
        <w:rPr>
          <w:rFonts w:ascii="Times New Roman" w:hAnsi="Times New Roman"/>
          <w:sz w:val="20"/>
        </w:rPr>
        <w:t xml:space="preserve"> (or in any related definitions) were instead a reference to the same number of Reference Property Units; (II) for purposes of the definitions of “Fundamental Change” and “Make-Whole Fundamental Change,” references to “Common Stock” and the Parent Guarantor’s “Common Equity” will be deemed to refer to the Common Equity (including depositary receipts representing Common Equity), if any, forming part of such Reference Property; and (III)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each reference to any number of shares of Common Stock in such Section (or in any related definitions) will be deemed to be a reference to the same number of Reference Property Units;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such Reference Property Unit consists entirely of cash, then (I) each Exchange of any Note with an Exchange Date that occurs on or after the effective date of such Common Stock Change Event will be settled entirely in cash in an amount, per $1,000 principal amount of such Note being Exchanged, equal to the product of (x) the Exchange Rate in effect on such Exchange Date (including, for the avoidance of doubt, any increase to such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if applicable); and (y) the amount of cash constituting such Reference Property Unit; and (II) the Company will settle each such Exchange on the second (2nd) Business Day after the relevant Exchange Date; and </w:t>
      </w:r>
    </w:p>
    <w:p>
      <w:pPr>
        <w:pStyle w:val="TextBody"/>
        <w:bidi w:val="0"/>
        <w:spacing w:before="240" w:after="0"/>
        <w:jc w:val="left"/>
        <w:rPr>
          <w:rFonts w:ascii="Times New Roman" w:hAnsi="Times New Roman"/>
          <w:sz w:val="20"/>
        </w:rPr>
      </w:pPr>
      <w:r>
        <w:rPr>
          <w:rFonts w:ascii="Times New Roman" w:hAnsi="Times New Roman"/>
          <w:sz w:val="20"/>
        </w:rPr>
        <w:t xml:space="preserve">(3) for these purposes, (I) the Daily VWAP of any Reference Property Unit or portion thereof that consists of a class of Common Equity securities listed on a national securities exchange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listed on a national securities exchange,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Exchange Agent of such weighted average as soon as practicable after such determination is made. </w:t>
      </w:r>
    </w:p>
    <w:p>
      <w:pPr>
        <w:pStyle w:val="TextBody"/>
        <w:bidi w:val="0"/>
        <w:spacing w:before="240" w:after="0"/>
        <w:jc w:val="left"/>
        <w:rPr>
          <w:rFonts w:ascii="Times New Roman" w:hAnsi="Times New Roman"/>
          <w:sz w:val="20"/>
        </w:rPr>
      </w:pPr>
      <w:r>
        <w:rPr>
          <w:rFonts w:ascii="Times New Roman" w:hAnsi="Times New Roman"/>
          <w:sz w:val="20"/>
        </w:rPr>
        <w:t>At or before the effective time of a Common Stock Change Event, the Company, the Parent Guarantor and the resulting, surviving or transferee Person (if not the Company or the Parent Guarantor) of such Common Stock Change Event (the “</w:t>
      </w:r>
      <w:r>
        <w:rPr>
          <w:rFonts w:ascii="Times New Roman" w:hAnsi="Times New Roman"/>
          <w:b/>
          <w:sz w:val="20"/>
        </w:rPr>
        <w:t>Successor Person</w:t>
      </w:r>
      <w:r>
        <w:rPr>
          <w:rFonts w:ascii="Times New Roman" w:hAnsi="Times New Roman"/>
          <w:sz w:val="20"/>
        </w:rPr>
        <w:t xml:space="preserve">”) will execute and deliver to the Trustee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8.01(F)</w:t>
      </w:r>
      <w:r>
        <w:rPr>
          <w:rFonts w:ascii="Times New Roman" w:hAnsi="Times New Roman"/>
          <w:sz w:val="20"/>
        </w:rPr>
        <w:t xml:space="preserve">, which supplemental indenture will (x) provide for subsequent Exchanges of Notes in the manner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(y) provide for subsequent adjustments to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in a manner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(including giving effect, in good faith and the reasonable discretion of the Company, to the Dividend Threshold in a manner that reflects the nature and value of the consideration comprising a Reference Property Unit, and provided that if the Reference Property is composed solely of non-stock consideration, the adjusted Dividend Threshold will be zero); and (z) contain such other provisions, if any, that the Company reasonably determines are appropriate to preserve the economic interests of the Holders and to give effect to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5.09(A)</w:t>
      </w:r>
      <w:r>
        <w:rPr>
          <w:rFonts w:ascii="Times New Roman" w:hAnsi="Times New Roman"/>
          <w:sz w:val="20"/>
        </w:rPr>
        <w:t xml:space="preserve">.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Common Stock Change Events</w:t>
      </w:r>
      <w:r>
        <w:rPr>
          <w:rFonts w:ascii="Times New Roman" w:hAnsi="Times New Roman"/>
          <w:sz w:val="20"/>
        </w:rPr>
        <w:t xml:space="preserve">. The Company will provide notice of each Common Stock Change Event to the Holders, the Trustee and the Exchange Agent no later than the Business Day after the effective date of such Common Stock Change Event.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Compliance Covenant</w:t>
      </w:r>
      <w:r>
        <w:rPr>
          <w:rFonts w:ascii="Times New Roman" w:hAnsi="Times New Roman"/>
          <w:sz w:val="20"/>
        </w:rPr>
        <w:t xml:space="preserve">. The Parent Guarantor will not become a party to any Common Stock Change Event unless its terms are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5.10 DEEMED REPRESENTATION UPON EXCHANGE. </w:t>
      </w:r>
    </w:p>
    <w:p>
      <w:pPr>
        <w:pStyle w:val="TextBody"/>
        <w:bidi w:val="0"/>
        <w:spacing w:before="120" w:after="0"/>
        <w:jc w:val="left"/>
        <w:rPr>
          <w:rFonts w:ascii="Times New Roman" w:hAnsi="Times New Roman"/>
          <w:sz w:val="20"/>
        </w:rPr>
      </w:pPr>
      <w:r>
        <w:rPr>
          <w:rFonts w:ascii="Times New Roman" w:hAnsi="Times New Roman"/>
          <w:sz w:val="20"/>
        </w:rPr>
        <w:t xml:space="preserve">As of the Exchange Date for the Exchange of any Note, the Holder of such Note will be deemed to have represented to the Company and the Parent Guarantor that such Holder is either a “qualified institutional buyer” (as defined in Rule 144A) or an “accredited investor” (as defined in Rule 501). A Holder’s satisfaction of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xml:space="preserve"> to Exchange any Note will be deemed to constitute such Holder’s representation as provided in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COMPANY SUCCESSORS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6.01 WHEN THE COMPANY MAY MERGE,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 w:hAnsi="Times New Roman"/>
          <w:b/>
          <w:sz w:val="20"/>
        </w:rPr>
        <w:t>Company Business Combination Event</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(i) the resulting, surviving or transferee Person either (x) is the Company or (y) if not the Company, is a corporation, limited liability company, limited partnership or other similar entity (such corporation, limited liability company, limited partnership or other similar entity, the “</w:t>
      </w:r>
      <w:r>
        <w:rPr>
          <w:rFonts w:ascii="Times New Roman" w:hAnsi="Times New Roman"/>
          <w:b/>
          <w:sz w:val="20"/>
        </w:rPr>
        <w:t>Company Successor Entity</w:t>
      </w:r>
      <w:r>
        <w:rPr>
          <w:rFonts w:ascii="Times New Roman" w:hAnsi="Times New Roman"/>
          <w:sz w:val="20"/>
        </w:rPr>
        <w:t xml:space="preserve">”) duly organized and existing under the laws of the United States of America, any State thereof or the District of Columbia that expressly assumes (by executing and delivering to the Trustee, at or before the effective time of such Company Business Combination Event,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8.01(E)</w:t>
      </w:r>
      <w:r>
        <w:rPr>
          <w:rFonts w:ascii="Times New Roman" w:hAnsi="Times New Roman"/>
          <w:sz w:val="20"/>
        </w:rPr>
        <w:t xml:space="preserve">) all of the Company’s obligations under this Indenture, the Notes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(ii) immediately after giving effect to such Company Business Combination Event, no Default or Event of Default will have occurred and be continuing; and </w:t>
      </w:r>
    </w:p>
    <w:p>
      <w:pPr>
        <w:pStyle w:val="TextBody"/>
        <w:bidi w:val="0"/>
        <w:spacing w:before="240" w:after="0"/>
        <w:jc w:val="left"/>
        <w:rPr>
          <w:rFonts w:ascii="Times New Roman" w:hAnsi="Times New Roman"/>
          <w:sz w:val="20"/>
        </w:rPr>
      </w:pPr>
      <w:r>
        <w:rPr>
          <w:rFonts w:ascii="Times New Roman" w:hAnsi="Times New Roman"/>
          <w:sz w:val="20"/>
        </w:rPr>
        <w:t xml:space="preserve">(iii) at or before the effective time of any Company Business Combination Event, the Company will deliver to the Trustee an Officer’s Certificate and Opinion of Counsel, each stating that (a) such Company Business Combination Event (and, if applicable, the related supplemental indenture)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6.01(A)(i) and (ii)</w:t>
      </w:r>
      <w:r>
        <w:rPr>
          <w:rFonts w:ascii="Times New Roman" w:hAnsi="Times New Roman"/>
          <w:sz w:val="20"/>
        </w:rPr>
        <w:t xml:space="preserve">; and (b) all conditions precedent to such Company Business Combination Event provided in this Indenture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6.02 COMPANY SUCCESSOR ENTITY SUBSTITUTED.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any Company Business Combination Event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the Company Successor Entity (if not the Company) will succeed to, and may exercise every right and power of, the Company under this Indenture, the applicable Registration Rights Agreement (if any) and the Notes with the same effect as if such Company Successor Entity had been named as the Company in this Indenture, such Registration Rights Agreement and the Notes, and, except in the case of a lease, the predecessor Company will be discharged from its obligations under this Indenture, the Notes and (unless the Underlying Security immediately after such Company Business Combination Event includes any securities of such predecessor Company) such Registration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6.03 EXCLUSION FOR ASSET TRANSFERS WITH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6</w:t>
      </w:r>
      <w:r>
        <w:rPr>
          <w:rFonts w:ascii="Times New Roman" w:hAnsi="Times New Roman"/>
          <w:sz w:val="20"/>
        </w:rPr>
        <w:t xml:space="preserve">, this </w:t>
      </w:r>
      <w:r>
        <w:rPr>
          <w:rFonts w:ascii="Times New Roman" w:hAnsi="Times New Roman"/>
          <w:b/>
          <w:sz w:val="20"/>
        </w:rPr>
        <w:t>Article 6</w:t>
      </w:r>
      <w:r>
        <w:rPr>
          <w:rFonts w:ascii="Times New Roman" w:hAnsi="Times New Roman"/>
          <w:sz w:val="20"/>
        </w:rPr>
        <w:t xml:space="preserve"> will not apply to any transfer of assets (not effected by merger or consolidation) between or among (i) the Company or (ii) any one or more of the Company’s Wholly Owned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DEFAULTS AND 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Definition of Events of Default</w:t>
      </w:r>
      <w:r>
        <w:rPr>
          <w:rFonts w:ascii="Times New Roman" w:hAnsi="Times New Roman"/>
          <w:sz w:val="20"/>
        </w:rPr>
        <w:t>. “</w:t>
      </w:r>
      <w:r>
        <w:rPr>
          <w:rFonts w:ascii="Times New Roman" w:hAnsi="Times New Roman"/>
          <w:b/>
          <w:sz w:val="20"/>
        </w:rPr>
        <w:t>Event of Default</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default in the payment when due (whether at maturity, upon Redemption or Repurchase Upon Fundamental Change or otherwise) of the principal of, the Maturity Premium in respect of, or the Redemption Price or Fundamental Change Repurchase Price for, any Note; </w:t>
      </w:r>
    </w:p>
    <w:p>
      <w:pPr>
        <w:pStyle w:val="TextBody"/>
        <w:bidi w:val="0"/>
        <w:spacing w:before="240" w:after="0"/>
        <w:jc w:val="left"/>
        <w:rPr>
          <w:rFonts w:ascii="Times New Roman" w:hAnsi="Times New Roman"/>
          <w:sz w:val="20"/>
        </w:rPr>
      </w:pPr>
      <w:r>
        <w:rPr>
          <w:rFonts w:ascii="Times New Roman" w:hAnsi="Times New Roman"/>
          <w:sz w:val="20"/>
        </w:rPr>
        <w:t xml:space="preserve">(ii) a default for thirty (30) consecutive days in the payment when due of interest on any Note;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Company’s failure to deliver, when required by this Indenture, a Fundamental Change Notice, or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w:t>
      </w:r>
      <w:r>
        <w:rPr>
          <w:rFonts w:ascii="Times New Roman" w:hAnsi="Times New Roman"/>
          <w:sz w:val="20"/>
        </w:rPr>
        <w:t xml:space="preserve">, if (in the case of any notice other than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5.01(C)(i)(3)(a)</w:t>
      </w:r>
      <w:r>
        <w:rPr>
          <w:rFonts w:ascii="Times New Roman" w:hAnsi="Times New Roman"/>
          <w:sz w:val="20"/>
        </w:rPr>
        <w:t xml:space="preserve">) such failure is not cured within three (3) Business Days after its occurrence;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 default in the Company’s obligation to Exchange a Note in accordance with </w:t>
      </w:r>
      <w:r>
        <w:rPr>
          <w:rFonts w:ascii="Times New Roman" w:hAnsi="Times New Roman"/>
          <w:b/>
          <w:sz w:val="20"/>
        </w:rPr>
        <w:t>Article 5</w:t>
      </w:r>
      <w:r>
        <w:rPr>
          <w:rFonts w:ascii="Times New Roman" w:hAnsi="Times New Roman"/>
          <w:sz w:val="20"/>
        </w:rPr>
        <w:t xml:space="preserve"> upon the exercise of the Exchange right with respect thereto, if such default is not cured within three (3) Business Days after its occurrence; </w:t>
      </w:r>
    </w:p>
    <w:p>
      <w:pPr>
        <w:pStyle w:val="TextBody"/>
        <w:bidi w:val="0"/>
        <w:spacing w:before="240" w:after="0"/>
        <w:jc w:val="left"/>
        <w:rPr>
          <w:rFonts w:ascii="Times New Roman" w:hAnsi="Times New Roman"/>
          <w:sz w:val="20"/>
        </w:rPr>
      </w:pPr>
      <w:r>
        <w:rPr>
          <w:rFonts w:ascii="Times New Roman" w:hAnsi="Times New Roman"/>
          <w:sz w:val="20"/>
        </w:rPr>
        <w:t xml:space="preserve">(v) a default in the Company’s obligations under </w:t>
      </w:r>
      <w:r>
        <w:rPr>
          <w:rFonts w:ascii="Times New Roman" w:hAnsi="Times New Roman"/>
          <w:b/>
          <w:sz w:val="20"/>
        </w:rPr>
        <w:t>Article 6</w:t>
      </w:r>
      <w:r>
        <w:rPr>
          <w:rFonts w:ascii="Times New Roman" w:hAnsi="Times New Roman"/>
          <w:sz w:val="20"/>
        </w:rPr>
        <w:t xml:space="preserve"> or in the Parent Guarantor’s obligations under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 a default in any of the Company’s obligations or agreements, or in the Parent Guarantor’s obligations or agreements, under this Indenture or the Notes (other than a default set forth in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w:t>
      </w:r>
      <w:r>
        <w:rPr>
          <w:rFonts w:ascii="Times New Roman" w:hAnsi="Times New Roman"/>
          <w:b/>
          <w:sz w:val="20"/>
        </w:rPr>
        <w:t>(iii)</w:t>
      </w:r>
      <w:r>
        <w:rPr>
          <w:rFonts w:ascii="Times New Roman" w:hAnsi="Times New Roman"/>
          <w:sz w:val="20"/>
        </w:rPr>
        <w:t xml:space="preserve">, </w:t>
      </w:r>
      <w:r>
        <w:rPr>
          <w:rFonts w:ascii="Times New Roman" w:hAnsi="Times New Roman"/>
          <w:b/>
          <w:sz w:val="20"/>
        </w:rPr>
        <w:t>(iv)</w:t>
      </w:r>
      <w:r>
        <w:rPr>
          <w:rFonts w:ascii="Times New Roman" w:hAnsi="Times New Roman"/>
          <w:sz w:val="20"/>
        </w:rPr>
        <w:t xml:space="preserve"> or </w:t>
      </w:r>
      <w:r>
        <w:rPr>
          <w:rFonts w:ascii="Times New Roman" w:hAnsi="Times New Roman"/>
          <w:b/>
          <w:sz w:val="20"/>
        </w:rPr>
        <w:t>(v)</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 </w:t>
      </w:r>
    </w:p>
    <w:p>
      <w:pPr>
        <w:pStyle w:val="TextBody"/>
        <w:bidi w:val="0"/>
        <w:spacing w:before="240" w:after="0"/>
        <w:jc w:val="left"/>
        <w:rPr>
          <w:rFonts w:ascii="Times New Roman" w:hAnsi="Times New Roman"/>
          <w:sz w:val="20"/>
        </w:rPr>
      </w:pPr>
      <w:r>
        <w:rPr>
          <w:rFonts w:ascii="Times New Roman" w:hAnsi="Times New Roman"/>
          <w:sz w:val="20"/>
        </w:rPr>
        <w:t xml:space="preserve">(vii) a default under any bond, debenture, note, mortgage, indenture or other instrument, in each case, under which there may be issued or by which there may be secured or evidenced any Recourse indebtedness for money borrowed of the Company or the Parent Guarantor having an aggregate principal amount outstanding of at least one hundred fifty million dollars ($150,000,000), whether such Recourse indebtedness exists as of the Issue Date or shall hereafter be crated, which default: </w:t>
      </w:r>
    </w:p>
    <w:p>
      <w:pPr>
        <w:pStyle w:val="TextBody"/>
        <w:bidi w:val="0"/>
        <w:spacing w:before="120" w:after="0"/>
        <w:jc w:val="left"/>
        <w:rPr>
          <w:rFonts w:ascii="Times New Roman" w:hAnsi="Times New Roman"/>
          <w:sz w:val="20"/>
        </w:rPr>
      </w:pPr>
      <w:r>
        <w:rPr>
          <w:rFonts w:ascii="Times New Roman" w:hAnsi="Times New Roman"/>
          <w:sz w:val="20"/>
        </w:rPr>
        <w:t xml:space="preserve">(1) shall constitute a failure to pay any portion of the principal of such Recourse indebtedness when due and payable at its stated maturity after the expiration of any applicable grace period with respect thereto; or </w:t>
      </w:r>
    </w:p>
    <w:p>
      <w:pPr>
        <w:pStyle w:val="TextBody"/>
        <w:bidi w:val="0"/>
        <w:spacing w:before="240" w:after="0"/>
        <w:jc w:val="left"/>
        <w:rPr>
          <w:rFonts w:ascii="Times New Roman" w:hAnsi="Times New Roman"/>
          <w:sz w:val="20"/>
        </w:rPr>
      </w:pPr>
      <w:r>
        <w:rPr>
          <w:rFonts w:ascii="Times New Roman" w:hAnsi="Times New Roman"/>
          <w:sz w:val="20"/>
        </w:rPr>
        <w:t xml:space="preserve">(2) shall have resulted in such Recourse indebtedness becoming or being declared due and payable prior to its stated maturity, </w:t>
      </w:r>
    </w:p>
    <w:p>
      <w:pPr>
        <w:pStyle w:val="TextBody"/>
        <w:bidi w:val="0"/>
        <w:spacing w:before="120" w:after="0"/>
        <w:jc w:val="left"/>
        <w:rPr>
          <w:rFonts w:ascii="Times New Roman" w:hAnsi="Times New Roman"/>
          <w:sz w:val="20"/>
        </w:rPr>
      </w:pPr>
      <w:r>
        <w:rPr>
          <w:rFonts w:ascii="Times New Roman" w:hAnsi="Times New Roman"/>
          <w:sz w:val="20"/>
        </w:rPr>
        <w:t xml:space="preserve">without, in the case of Clause (1), such Recourse indebtedness having been discharged or without, in the case of Clause (2), such Recourse indebtedness having been discharged or such acceleration having been rescinded or annulled, in each such case, within a period of thirty (30) days after there shall have been given, by registered or certified mail, to the Company by the Trustee or to us and the Trustee by the Holders of at least twenty five percent (25%) of the aggregate principal amount of Notes then outstanding a written notice specifying such default and requiring us to cause such Recourse indebtedness to be discharged or cause such acceleration to be rescinded or annulled, as the case may be, and stating that such notice is a “Notice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(viii) the Company or the Parent Guarantor denies or disaffirms its obligations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(ix) the entry by a court having jurisdiction in the premises of (A) a decree or order for relief in respect of the Company, Parent Guarantor or any Significant Subsidiary in an involuntary case or proceeding under any applicable Federal or State bankruptcy, insolvency, reorganization or other similar law or (B) a decree or order adjudging the Company, Parent Guarantor or any Significant Subsidiary a bankrupt or insolvent, or approving as properly filed a petition seeking reorganization, arrangement, adjustment or composition of or in respect of the Company, Parent Guarantor or any Significant Subsidiary under any applicable Federal or State law, or appointing a custodian, receiver, liquidator, assignee, trustee, sequestrator or other similar official of the Company, Parent Guarantor or any Significant Subsidiary or of any substantial part of its property, or ordering the winding up or liquidation of its affairs, and the continuance of any such decree or order for relief or any such other decree or order unstayed and in effect for a period of ninety (90)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(x) the commencement by the Company, Parent Guarantor or any Significant Subsidiary of a voluntary case or proceeding under any applicable Federal or State bankruptcy, insolvency, reorganization or other similar law or of any other case or proceeding to be adjudicated a bankrupt or insolvent, or the consent by the Company, Parent Guarantor or any Significant Subsidiary to the entry of a decree or order for relief in respect of the Company, Parent Guarantor or any Significant Subsidiary in an involuntary case or proceeding under any applicable Federal or State bankruptcy, insolvency, reorganization or other similar law or to the commencement of any bankruptcy or insolvency case or proceeding against the Company, Parent Guarantor or any Significant Subsidiary, or the filing by the Company, Parent Guarantor or any Significant Subsidiary of a petition or answer or consent seeking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reorganization or relief under any applicable Federal or State law, or the consent by the Company, Parent Guarantor or any Significant Subsidiary to the filing of such petition or to the appointment of or taking possession by a custodian, receiver, liquidator, assignee, trustee, sequestrator or other similar official of the Company, Parent Guarantor or any Significant Subsidiary or of any substantial part of its property, or the making by the Company, Parent Guarantor or any Significant Subsidiary of an assignment for the benefit of creditors, or the admission by the Company, Parent Guarantor or any Significant Subsidiary in writing of its inability to pay its debts generally as they become due, or the taking of action by the Company, Parent Guarantor or any Significant Subsidiary in furtherance of any such action; or </w:t>
      </w:r>
    </w:p>
    <w:p>
      <w:pPr>
        <w:pStyle w:val="TextBody"/>
        <w:bidi w:val="0"/>
        <w:spacing w:before="240" w:after="0"/>
        <w:jc w:val="left"/>
        <w:rPr>
          <w:rFonts w:ascii="Times New Roman" w:hAnsi="Times New Roman"/>
          <w:sz w:val="20"/>
        </w:rPr>
      </w:pPr>
      <w:r>
        <w:rPr>
          <w:rFonts w:ascii="Times New Roman" w:hAnsi="Times New Roman"/>
          <w:sz w:val="20"/>
        </w:rPr>
        <w:t xml:space="preserve">(xi) except as expressly permitted by this Indenture, the Guarantee ceases to be in full force and effect or the Parent Guarantor denies or disaffirms its obligations under its Guarantee.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Cause Irrelevant</w:t>
      </w:r>
      <w:r>
        <w:rPr>
          <w:rFonts w:ascii="Times New Roman" w:hAnsi="Times New Roman"/>
          <w:sz w:val="20"/>
        </w:rPr>
        <w:t xml:space="preserve">. Each of the events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Cure of Defaults; Ability to Cure or Waive Before Event of Default Occurs</w:t>
      </w:r>
      <w:r>
        <w:rPr>
          <w:rFonts w:ascii="Times New Roman" w:hAnsi="Times New Roman"/>
          <w:sz w:val="20"/>
        </w:rPr>
        <w:t xml:space="preserve">. For the avoidance of doubt, and without limiting the manner in which any Default can be cured, (A) a Default consisting of a failure to send a notice in accordance with this Indenture will be cured upon the sending of such notice; (B) a Default in making any payment on (or delivering any other consideration in respect of) any Note will be cured upon the delivery, in accordance with this Indenture, of such payment (or other consideration) together, if applicable, with Default Interest thereon; and (C) a Default that is (or, after notice, passage of time or both, would be) a Reporting Event of Default will be cured upon the filing of the relevant report(s) giving rise to such Default. In addition, for the avoidance of doubt, (x) if a Default that is not an Event of Default is cured or waived before such Default would have constituted an Event of Default, then no Event of Default will result from such Default and (y) the cure of any Default shall not affect any obligation to pay interest that accrued prior to the time of such cure as a result of such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7.02 ACCELERATION. </w:t>
      </w:r>
    </w:p>
    <w:p>
      <w:pPr>
        <w:pStyle w:val="TextBody"/>
        <w:bidi w:val="0"/>
        <w:spacing w:before="120" w:after="0"/>
        <w:jc w:val="left"/>
        <w:rPr>
          <w:rFonts w:ascii="Times New Roman" w:hAnsi="Times New Roman"/>
          <w:sz w:val="20"/>
        </w:rPr>
      </w:pPr>
      <w:r>
        <w:rPr>
          <w:rFonts w:ascii="Times New Roman" w:hAnsi="Times New Roman"/>
          <w:sz w:val="20"/>
        </w:rPr>
        <w:t xml:space="preserve">(A) Automatic Acceleration in Certain Circumstances. If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7.01(A)(ix) </w:t>
      </w:r>
      <w:r>
        <w:rPr>
          <w:rFonts w:ascii="Times New Roman" w:hAnsi="Times New Roman"/>
          <w:sz w:val="20"/>
        </w:rPr>
        <w:t xml:space="preserve">or </w:t>
      </w:r>
      <w:r>
        <w:rPr>
          <w:rFonts w:ascii="Times New Roman" w:hAnsi="Times New Roman"/>
          <w:b/>
          <w:sz w:val="20"/>
        </w:rPr>
        <w:t>7.01(A)(x)</w:t>
      </w:r>
      <w:r>
        <w:rPr>
          <w:rFonts w:ascii="Times New Roman" w:hAnsi="Times New Roman"/>
          <w:sz w:val="20"/>
        </w:rPr>
        <w:t xml:space="preserve"> occurs with respect to Parent Guarantor or the Company (and not solely with respect to a Significant Subsidiary of the Company or the Parent Guarantor (other than the Company)), then the principal amount of, and all accrued and unpaid interest on, and the Maturity Premium, if any, in respect of, all of the Notes then outstanding will immediately become due and payable without any further action or notice by any Person.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Optional Acceleration</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if an Event of Default (other than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7.01(A)(ix)</w:t>
      </w:r>
      <w:r>
        <w:rPr>
          <w:rFonts w:ascii="Times New Roman" w:hAnsi="Times New Roman"/>
          <w:sz w:val="20"/>
        </w:rPr>
        <w:t xml:space="preserve"> or </w:t>
      </w:r>
      <w:r>
        <w:rPr>
          <w:rFonts w:ascii="Times New Roman" w:hAnsi="Times New Roman"/>
          <w:b/>
          <w:sz w:val="20"/>
        </w:rPr>
        <w:t xml:space="preserve">7.01(A)(x) </w:t>
      </w:r>
      <w:r>
        <w:rPr>
          <w:rFonts w:ascii="Times New Roman" w:hAnsi="Times New Roman"/>
          <w:sz w:val="20"/>
        </w:rPr>
        <w:t xml:space="preserve">with respect to Parent Guarantor or the Company and not solely with respect to a Significant Subsidiary of the Company or the Parent Guarantor (other than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and the Maturity Premium, if any, in respect of, all of the Notes then outstanding to become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Rescission of Acceleration</w:t>
      </w:r>
      <w:r>
        <w:rPr>
          <w:rFonts w:ascii="Times New Roman" w:hAnsi="Times New Roman"/>
          <w:sz w:val="20"/>
        </w:rPr>
        <w:t xml:space="preserve">. Notwithstanding anything to the contrary in this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or the Maturity Premium, if any, in respect of, the Notes that has become due solely because of such acceleration) have been cured or waived. No such rescission will affect any subsequent Default or impair any right consequent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7.03 SOLE REMEDY FOR A FAILURE TO REPORT.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Notwithstanding anything to the contrary in this Indenture or the Notes, the Company may elect that the sole remedy for any Event of Default (a “</w:t>
      </w:r>
      <w:r>
        <w:rPr>
          <w:rFonts w:ascii="Times New Roman" w:hAnsi="Times New Roman"/>
          <w:b/>
          <w:sz w:val="20"/>
        </w:rPr>
        <w:t>Reporting Event of Default</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7.01(A)(vi)</w:t>
      </w:r>
      <w:r>
        <w:rPr>
          <w:rFonts w:ascii="Times New Roman" w:hAnsi="Times New Roman"/>
          <w:sz w:val="20"/>
        </w:rPr>
        <w:t xml:space="preserve"> arising from the Parent Guarantor’s failure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will, for each of the first three hundred sixty (360)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on account of the relevant Reporting Event of Default from, and including, the three hundred and sixty first (361st) calendar day on which a Reporting Event of Default has occurred and is continuing or if the Company fails to pay any accrued and unpaid Special Interest when due; and (ii) Special Interest will cease to accrue on any Notes from, and including, the earlier of (x) the date such Reporting Event of Default is cured or waived and (y) such three hundred sixty first (361st) calendar day (it being understood that interest on any defaulted Special Interest will nonetheless accrue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Amount and Payment of Special Interest</w:t>
      </w:r>
      <w:r>
        <w:rPr>
          <w:rFonts w:ascii="Times New Roman" w:hAnsi="Times New Roman"/>
          <w:sz w:val="20"/>
        </w:rPr>
        <w:t xml:space="preserve">. Any Special Interest that accrues on a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7.03(A)</w:t>
      </w:r>
      <w:r>
        <w:rPr>
          <w:rFonts w:ascii="Times New Roman" w:hAnsi="Times New Roman"/>
          <w:sz w:val="20"/>
        </w:rPr>
        <w:t xml:space="preserve"> will be payable on the same dates and in the same manner as the Stated Interest on such Note and will accrue at a rate per annum equal to one quarter of one percent (0.25%) of the principal amount thereof for the first one hundred and eighty (180) days on which Special Interest accrues and, thereafter, at a rate per annum equal to one half of one percent (0.50%) of the principal amount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Special Interest, together with any Additional Interest,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Election</w:t>
      </w:r>
      <w:r>
        <w:rPr>
          <w:rFonts w:ascii="Times New Roman" w:hAnsi="Times New Roman"/>
          <w:sz w:val="20"/>
        </w:rPr>
        <w:t xml:space="preserve">. To make the election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7.03(A)</w:t>
      </w:r>
      <w:r>
        <w:rPr>
          <w:rFonts w:ascii="Times New Roman" w:hAnsi="Times New Roman"/>
          <w:sz w:val="20"/>
        </w:rPr>
        <w:t xml:space="preserve">, the Company must send to the Holders, the Trustee and the Paying 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Trustee and Paying Agent; Trustee’s Disclaimer</w:t>
      </w:r>
      <w:r>
        <w:rPr>
          <w:rFonts w:ascii="Times New Roman" w:hAnsi="Times New Roman"/>
          <w:sz w:val="20"/>
        </w:rPr>
        <w:t xml:space="preserve">.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 and shall be entitled to conclusively rely on the Officer’s Certificate referred to in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Effect on Other Events of Default</w:t>
      </w:r>
      <w:r>
        <w:rPr>
          <w:rFonts w:ascii="Times New Roman" w:hAnsi="Times New Roman"/>
          <w:sz w:val="20"/>
        </w:rPr>
        <w:t xml:space="preserve">. No election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with respect to a Reporting Event of Default will affect the rights of any Holder with respect to any other Event of Default, including with respect to any other Reporting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7.04 OTHER REMEDIES.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Trustee May Pursue All Remedies</w:t>
      </w:r>
      <w:r>
        <w:rPr>
          <w:rFonts w:ascii="Times New Roman" w:hAnsi="Times New Roman"/>
          <w:sz w:val="20"/>
        </w:rPr>
        <w:t xml:space="preserve">. If an Event of Default occurs and is continuing, then the Trustee may pursue any available remedy to collect the payment of any amounts due with respect to the Notes, any amounts due to the Trustee under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hereof or to enforce the performance of any provision of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Procedural Matters</w:t>
      </w:r>
      <w:r>
        <w:rPr>
          <w:rFonts w:ascii="Times New Roman" w:hAnsi="Times New Roman"/>
          <w:sz w:val="20"/>
        </w:rPr>
        <w:t xml:space="preserve">.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7.05 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A Default that is (or, after notice, passage of time or both, would be) an Event of Default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w:t>
      </w:r>
      <w:r>
        <w:rPr>
          <w:rFonts w:ascii="Times New Roman" w:hAnsi="Times New Roman"/>
          <w:b/>
          <w:sz w:val="20"/>
        </w:rPr>
        <w:t>(iv)</w:t>
      </w:r>
      <w:r>
        <w:rPr>
          <w:rFonts w:ascii="Times New Roman" w:hAnsi="Times New Roman"/>
          <w:sz w:val="20"/>
        </w:rPr>
        <w:t xml:space="preserve"> or </w:t>
      </w:r>
      <w:r>
        <w:rPr>
          <w:rFonts w:ascii="Times New Roman" w:hAnsi="Times New Roman"/>
          <w:b/>
          <w:sz w:val="20"/>
        </w:rPr>
        <w:t>(vi)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(that, in the case of </w:t>
      </w:r>
      <w:r>
        <w:rPr>
          <w:rFonts w:ascii="Times New Roman" w:hAnsi="Times New Roman"/>
          <w:b/>
          <w:sz w:val="20"/>
        </w:rPr>
        <w:t>clause (vi)</w:t>
      </w:r>
      <w:r>
        <w:rPr>
          <w:rFonts w:ascii="Times New Roman" w:hAnsi="Times New Roman"/>
          <w:sz w:val="20"/>
        </w:rPr>
        <w:t xml:space="preserve"> only, results from a Default under any covenant that cannot be amended without the consent of each affected Holder)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7.06 CONTROL BY MAJORITY. </w:t>
      </w:r>
    </w:p>
    <w:p>
      <w:pPr>
        <w:pStyle w:val="TextBody"/>
        <w:bidi w:val="0"/>
        <w:spacing w:before="120" w:after="0"/>
        <w:jc w:val="left"/>
        <w:rPr>
          <w:rFonts w:ascii="Times New Roman" w:hAnsi="Times New Roman"/>
          <w:sz w:val="20"/>
        </w:rPr>
      </w:pPr>
      <w:r>
        <w:rPr>
          <w:rFonts w:ascii="Times New Roman" w:hAnsi="Times New Roman"/>
          <w:sz w:val="20"/>
        </w:rPr>
        <w:t xml:space="preserve">Holders of a majority in aggregate principal amount of the Notes then outstanding may direct the time, method and place of conducting any proceeding for exercising any remedy available to the Trustee or exercising any trust or power conferred on it, subject to </w:t>
      </w:r>
      <w:r>
        <w:rPr>
          <w:rFonts w:ascii="Times New Roman" w:hAnsi="Times New Roman"/>
          <w:b/>
          <w:sz w:val="20"/>
        </w:rPr>
        <w:t>Section</w:t>
      </w:r>
      <w:r>
        <w:rPr>
          <w:rFonts w:ascii="Times New Roman" w:hAnsi="Times New Roman"/>
          <w:sz w:val="20"/>
        </w:rPr>
        <w:t> </w:t>
      </w:r>
      <w:r>
        <w:rPr>
          <w:rFonts w:ascii="Times New Roman" w:hAnsi="Times New Roman"/>
          <w:b/>
          <w:sz w:val="20"/>
        </w:rPr>
        <w:t>11.02(f)</w:t>
      </w:r>
      <w:r>
        <w:rPr>
          <w:rFonts w:ascii="Times New Roman" w:hAnsi="Times New Roman"/>
          <w:sz w:val="20"/>
        </w:rPr>
        <w:t xml:space="preserve">. However, the Trustee may refuse to follow any direction that conflicts with law, this Indenture or the Notes, or that, subject to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the Trustee determines may be unduly prejudicial to the rights of other Holders or may involve the Trustee in liability, unless the Trustee is offered (and, if requested, provided with) security and/or indemnity satisfactory to the Trustee against any loss, liability or expense to the Trustee that may result from the Trustee’s following such direction.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7.07 LIMITATION ON SUITS. </w:t>
      </w:r>
    </w:p>
    <w:p>
      <w:pPr>
        <w:pStyle w:val="TextBody"/>
        <w:bidi w:val="0"/>
        <w:spacing w:before="120" w:after="0"/>
        <w:jc w:val="left"/>
        <w:rPr>
          <w:rFonts w:ascii="Times New Roman" w:hAnsi="Times New Roman"/>
          <w:sz w:val="20"/>
        </w:rPr>
      </w:pPr>
      <w:r>
        <w:rPr>
          <w:rFonts w:ascii="Times New Roman" w:hAnsi="Times New Roman"/>
          <w:sz w:val="20"/>
        </w:rPr>
        <w:t xml:space="preserve">No Holder may pursue any remedy with respect to this Indenture or the Notes (except to enforce (x) its rights to receive the principal of, or the Fundamental Change Repurchase Price or Redemption Price for, or any interest on, or the Maturity Premium, if any, in respect of, any Notes; or (y) the Company’s obligations to Exchange any Notes pursuant to </w:t>
      </w:r>
      <w:r>
        <w:rPr>
          <w:rFonts w:ascii="Times New Roman" w:hAnsi="Times New Roman"/>
          <w:b/>
          <w:sz w:val="20"/>
        </w:rPr>
        <w:t>Article 5</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delivered to the Trustee notice that an Event of Default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Holders of at least twenty five percent (25%) in aggregate principal amount of the Notes then outstanding deliver a request to the Trustee to pursue such remedy;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offer and, if requested, provide to the Trustee security and/or indemnity reasonably satisfactory to the Trustee against any loss, liability or expense to the Trustee that may result from the Trustee’s following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does not comply with such request within sixty (60) calendar days after its receipt of such request and such offer of security or indemnity; and </w:t>
      </w:r>
    </w:p>
    <w:p>
      <w:pPr>
        <w:pStyle w:val="TextBody"/>
        <w:bidi w:val="0"/>
        <w:spacing w:before="240" w:after="0"/>
        <w:jc w:val="left"/>
        <w:rPr>
          <w:rFonts w:ascii="Times New Roman" w:hAnsi="Times New Roman"/>
          <w:sz w:val="20"/>
        </w:rPr>
      </w:pPr>
      <w:r>
        <w:rPr>
          <w:rFonts w:ascii="Times New Roman" w:hAnsi="Times New Roman"/>
          <w:sz w:val="20"/>
        </w:rPr>
        <w:t xml:space="preserve">(E) during such sixty (60) calendar day period, Holders of a majority in aggregate principal amount of the Notes then outstanding do not deliver to the Trustee a direction that is inconsistent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A Holder of a Note may not use this Indenture to prejudice the rights of another Holder or to obtain a preference or priority over another Holder. The Trustee will have no duty to determine whether any Holder’s use of this Indenture complies with the preceding sentence.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7.08 ABSOLUTE RIGHT OF HOLDERS TO INSTITUTE SUIT FOR THE ENFORCEMENT OF THE RIGHT TO RECEIVE PAYMENT AND EXCHANGE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Indenture or the Notes (but without limiting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the right of each Holder of a Note to bring suit for the enforcement of any payment or delivery, as applicable, of the principal of, or the Fundamental Change Repurchase Price or Redemption Price for, or any interest on, or the Maturity Premium, if any, in respect of, or the Exchange Consideration due pursuant to </w:t>
      </w:r>
      <w:r>
        <w:rPr>
          <w:rFonts w:ascii="Times New Roman" w:hAnsi="Times New Roman"/>
          <w:b/>
          <w:sz w:val="20"/>
        </w:rPr>
        <w:t>Article 5</w:t>
      </w:r>
      <w:r>
        <w:rPr>
          <w:rFonts w:ascii="Times New Roman" w:hAnsi="Times New Roman"/>
          <w:sz w:val="20"/>
        </w:rPr>
        <w:t xml:space="preserve"> upon Exchange of, such Note on or after the respective due dates therefor provided in this Indenture and the Notes, will not be impaired or affected without the consent of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7.09 COLLECTION SUIT BY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have the right, upon the occurrence and continuance of an Event of Default pursuant to </w:t>
      </w:r>
      <w:r>
        <w:rPr>
          <w:rFonts w:ascii="Times New Roman" w:hAnsi="Times New Roman"/>
          <w:b/>
          <w:sz w:val="20"/>
        </w:rPr>
        <w:t>clause</w:t>
      </w:r>
      <w:r>
        <w:rPr>
          <w:rFonts w:ascii="Times New Roman" w:hAnsi="Times New Roman"/>
          <w:sz w:val="20"/>
        </w:rPr>
        <w:t> </w:t>
      </w:r>
      <w:r>
        <w:rPr>
          <w:rFonts w:ascii="Times New Roman" w:hAnsi="Times New Roman"/>
          <w:b/>
          <w:sz w:val="20"/>
        </w:rPr>
        <w:t>(i)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or </w:t>
      </w:r>
      <w:r>
        <w:rPr>
          <w:rFonts w:ascii="Times New Roman" w:hAnsi="Times New Roman"/>
          <w:b/>
          <w:sz w:val="20"/>
        </w:rPr>
        <w:t>(iv)</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to recover judgment in its own name and as trustee of an express trust against the Company for the total unpaid or undelivered principal of, or Fundamental Change Repurchase Price or Redemption Price for, or any interest on, or the Maturity Premium, if any, in respect of, or Exchange Consideration due pursuant to </w:t>
      </w:r>
      <w:r>
        <w:rPr>
          <w:rFonts w:ascii="Times New Roman" w:hAnsi="Times New Roman"/>
          <w:b/>
          <w:sz w:val="20"/>
        </w:rPr>
        <w:t>Article 5</w:t>
      </w:r>
      <w:r>
        <w:rPr>
          <w:rFonts w:ascii="Times New Roman" w:hAnsi="Times New Roman"/>
          <w:sz w:val="20"/>
        </w:rPr>
        <w:t xml:space="preserve"> upon Exchange of, the Notes, as applicable, and, to the extent lawful, any Default Interest on any Defaulted Amounts, and such further amounts sufficient to cover the costs and expenses of collection, including compensation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7.10 TRUSTEE MAY FILE PROOFS OF CLAIM. </w:t>
      </w:r>
    </w:p>
    <w:p>
      <w:pPr>
        <w:pStyle w:val="TextBody"/>
        <w:bidi w:val="0"/>
        <w:spacing w:before="120" w:after="0"/>
        <w:jc w:val="left"/>
        <w:rPr>
          <w:rFonts w:ascii="Times New Roman" w:hAnsi="Times New Roman"/>
          <w:sz w:val="20"/>
        </w:rPr>
      </w:pPr>
      <w:r>
        <w:rPr>
          <w:rFonts w:ascii="Times New Roman" w:hAnsi="Times New Roman"/>
          <w:sz w:val="20"/>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PRIORITIES.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pay or deliver in the following order any money or other property that it collects pursuant to this </w:t>
      </w:r>
      <w:r>
        <w:rPr>
          <w:rFonts w:ascii="Times New Roman" w:hAnsi="Times New Roman"/>
          <w:b/>
          <w:sz w:val="20"/>
        </w:rPr>
        <w:t>Article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Trustee and its agents and attorneys for amounts due under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including payment of all fees and compensation of, and all expenses and liabilities incurred, and all advances made, by, the Trustee (in each of its capacities under this Indenture, including as Note Agent) and the costs and expenses of collection; </w:t>
      </w:r>
    </w:p>
    <w:p>
      <w:pPr>
        <w:pStyle w:val="TextBody"/>
        <w:bidi w:val="0"/>
        <w:spacing w:before="24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Holders for unpaid amounts or other property due on the Notes, including the principal of, or the Fundamental Change Repurchase Price or Redemption Price for, or any interest on, or the Maturity Premium, if any, in respect of, or any Exchange Consideration due upon Exchange of, the Notes, ratably, and without preference or priority of any kind, according to such amounts or other property due and payable on all of the Notes; and </w:t>
      </w:r>
    </w:p>
    <w:p>
      <w:pPr>
        <w:pStyle w:val="TextBody"/>
        <w:bidi w:val="0"/>
        <w:spacing w:before="24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Company or such other Person as a court of competent jurisdiction directs.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or delivery to the Holders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7.11</w:t>
      </w:r>
      <w:r>
        <w:rPr>
          <w:rFonts w:ascii="Times New Roman" w:hAnsi="Times New Roman"/>
          <w:sz w:val="20"/>
        </w:rPr>
        <w:t xml:space="preserve">,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7.12 UNDERTAKING FOR COSTS.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w:t>
      </w: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does not apply to any suit by the Trustee, any suit by a Holder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7.08</w:t>
      </w:r>
      <w:r>
        <w:rPr>
          <w:rFonts w:ascii="Times New Roman" w:hAnsi="Times New Roman"/>
          <w:sz w:val="20"/>
        </w:rPr>
        <w:t xml:space="preserve"> or any suit by one or more Holders of more than ten percent (10%) in aggregate principal amount of the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AMENDMENTS, SUPPLEMENTS AND WAIVERS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WITHOUT THE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the Company, the Parent Guarantor and the Trustee may amend or supplement this Indenture or the Notes without the consent of any Holder to: </w:t>
      </w:r>
    </w:p>
    <w:p>
      <w:pPr>
        <w:pStyle w:val="TextBody"/>
        <w:bidi w:val="0"/>
        <w:spacing w:before="120" w:after="0"/>
        <w:jc w:val="left"/>
        <w:rPr>
          <w:rFonts w:ascii="Times New Roman" w:hAnsi="Times New Roman"/>
          <w:sz w:val="20"/>
        </w:rPr>
      </w:pPr>
      <w:r>
        <w:rPr>
          <w:rFonts w:ascii="Times New Roman" w:hAnsi="Times New Roman"/>
          <w:sz w:val="20"/>
        </w:rPr>
        <w:t xml:space="preserve">(A) cure any ambiguity or correct any omission, defect or inconsistency in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(B) add additional guarantees with respect to the Company’s obligations under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(C) secure the Notes or the Guarantee; </w:t>
      </w:r>
    </w:p>
    <w:p>
      <w:pPr>
        <w:pStyle w:val="TextBody"/>
        <w:bidi w:val="0"/>
        <w:spacing w:before="240" w:after="0"/>
        <w:jc w:val="left"/>
        <w:rPr>
          <w:rFonts w:ascii="Times New Roman" w:hAnsi="Times New Roman"/>
          <w:sz w:val="20"/>
        </w:rPr>
      </w:pPr>
      <w:r>
        <w:rPr>
          <w:rFonts w:ascii="Times New Roman" w:hAnsi="Times New Roman"/>
          <w:sz w:val="20"/>
        </w:rPr>
        <w:t xml:space="preserve">(D) add to the Company’s or the Parent Guarantor’s covenants or Events of Default for the benefit of the Holders or surrender any right or power conferred on the Company or the Parent Guarantor; </w:t>
      </w:r>
    </w:p>
    <w:p>
      <w:pPr>
        <w:pStyle w:val="TextBody"/>
        <w:bidi w:val="0"/>
        <w:spacing w:before="240" w:after="0"/>
        <w:jc w:val="left"/>
        <w:rPr>
          <w:rFonts w:ascii="Times New Roman" w:hAnsi="Times New Roman"/>
          <w:sz w:val="20"/>
        </w:rPr>
      </w:pPr>
      <w:r>
        <w:rPr>
          <w:rFonts w:ascii="Times New Roman" w:hAnsi="Times New Roman"/>
          <w:sz w:val="20"/>
        </w:rPr>
        <w:t xml:space="preserve">(E) provide for the assumption of the Company’s or the Parent Guarantor’s obligations under this Indenture, the Notes and the Registration Rights Agreement pursuant to, and in compliance with, </w:t>
      </w:r>
      <w:r>
        <w:rPr>
          <w:rFonts w:ascii="Times New Roman" w:hAnsi="Times New Roman"/>
          <w:b/>
          <w:sz w:val="20"/>
        </w:rPr>
        <w:t>Article 6</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enter into supplemental indentures pursuant to, and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in connection with a Common Stock Change Event; </w:t>
      </w:r>
    </w:p>
    <w:p>
      <w:pPr>
        <w:pStyle w:val="TextBody"/>
        <w:bidi w:val="0"/>
        <w:spacing w:before="240" w:after="0"/>
        <w:jc w:val="left"/>
        <w:rPr>
          <w:rFonts w:ascii="Times New Roman" w:hAnsi="Times New Roman"/>
          <w:sz w:val="20"/>
        </w:rPr>
      </w:pPr>
      <w:r>
        <w:rPr>
          <w:rFonts w:ascii="Times New Roman" w:hAnsi="Times New Roman"/>
          <w:sz w:val="20"/>
        </w:rPr>
        <w:t xml:space="preserve">(G) irrevocably elect or eliminate a Cash Percentage with respect to an Exchange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election or elimination will affect any Cash Percentage theretofore elected (or deemed to be elected) with respect to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evidence or provide for the acceptance of the appointment, under this Indenture,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 conform the provisions of this Indenture and the Notes to the “Description of Notes” section of the Company’s preliminary offering memorandum, dated August 6, 2026, as supplemented by the related pricing term sheet, dated August 6, 2026, in each case, as it relates to the Notes; </w:t>
      </w:r>
    </w:p>
    <w:p>
      <w:pPr>
        <w:pStyle w:val="TextBody"/>
        <w:bidi w:val="0"/>
        <w:spacing w:before="240" w:after="0"/>
        <w:jc w:val="left"/>
        <w:rPr>
          <w:rFonts w:ascii="Times New Roman" w:hAnsi="Times New Roman"/>
          <w:sz w:val="20"/>
        </w:rPr>
      </w:pPr>
      <w:r>
        <w:rPr>
          <w:rFonts w:ascii="Times New Roman" w:hAnsi="Times New Roman"/>
          <w:sz w:val="20"/>
        </w:rPr>
        <w:t xml:space="preserve">(J) provide for or confirm the issuance of additional Notes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increase the Exchange Rate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(L) comply with any requirement of the SEC in connection with any qualification of this Indenture or any supplemental indenture under the Trust Indenture Act, as then in effect; or </w:t>
      </w:r>
    </w:p>
    <w:p>
      <w:pPr>
        <w:pStyle w:val="TextBody"/>
        <w:bidi w:val="0"/>
        <w:spacing w:before="240" w:after="0"/>
        <w:jc w:val="left"/>
        <w:rPr>
          <w:rFonts w:ascii="Times New Roman" w:hAnsi="Times New Roman"/>
          <w:sz w:val="20"/>
        </w:rPr>
      </w:pPr>
      <w:r>
        <w:rPr>
          <w:rFonts w:ascii="Times New Roman" w:hAnsi="Times New Roman"/>
          <w:sz w:val="20"/>
        </w:rPr>
        <w:t xml:space="preserve">(M) make any other change to this Indenture or the Notes that does not, individually or in the aggregate with all other such changes, adversely affect the rights of the Holders, as such, in any material respect, as determined by the Company in good faith. </w:t>
      </w:r>
    </w:p>
    <w:p>
      <w:pPr>
        <w:pStyle w:val="TextBody"/>
        <w:bidi w:val="0"/>
        <w:spacing w:before="240" w:after="0"/>
        <w:jc w:val="left"/>
        <w:rPr>
          <w:rFonts w:ascii="Times New Roman" w:hAnsi="Times New Roman"/>
          <w:sz w:val="20"/>
        </w:rPr>
      </w:pPr>
      <w:r>
        <w:rPr>
          <w:rFonts w:ascii="Times New Roman" w:hAnsi="Times New Roman"/>
          <w:sz w:val="20"/>
        </w:rPr>
        <w:t xml:space="preserve">At the written request of any Holder of a Note or owner of a beneficial interest in a Global Note, the Company will provide a copy of the “Description of Notes” section and pricing term sheet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8.01(I)</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8.02 WITH THE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Sections 8.01</w:t>
      </w:r>
      <w:r>
        <w:rPr>
          <w:rFonts w:ascii="Times New Roman" w:hAnsi="Times New Roman"/>
          <w:sz w:val="20"/>
        </w:rPr>
        <w:t xml:space="preserve">, </w:t>
      </w:r>
      <w:r>
        <w:rPr>
          <w:rFonts w:ascii="Times New Roman" w:hAnsi="Times New Roman"/>
          <w:b/>
          <w:sz w:val="20"/>
        </w:rPr>
        <w:t>7.05</w:t>
      </w:r>
      <w:r>
        <w:rPr>
          <w:rFonts w:ascii="Times New Roman" w:hAnsi="Times New Roman"/>
          <w:sz w:val="20"/>
        </w:rPr>
        <w:t xml:space="preserve"> and </w:t>
      </w:r>
      <w:r>
        <w:rPr>
          <w:rFonts w:ascii="Times New Roman" w:hAnsi="Times New Roman"/>
          <w:b/>
          <w:sz w:val="20"/>
        </w:rPr>
        <w:t>7.08</w:t>
      </w:r>
      <w:r>
        <w:rPr>
          <w:rFonts w:ascii="Times New Roman" w:hAnsi="Times New Roman"/>
          <w:sz w:val="20"/>
        </w:rPr>
        <w:t xml:space="preserve"> and the immediately following sentence, the Company, the Parent Guarantor and the 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without the consent of each affected Holder, no amendment or supplement to this Indenture or the Notes, or waiver of any provision of this Indenture or the Notes, may: </w:t>
      </w:r>
    </w:p>
    <w:p>
      <w:pPr>
        <w:pStyle w:val="TextBody"/>
        <w:bidi w:val="0"/>
        <w:spacing w:before="120" w:after="0"/>
        <w:jc w:val="left"/>
        <w:rPr>
          <w:rFonts w:ascii="Times New Roman" w:hAnsi="Times New Roman"/>
          <w:sz w:val="20"/>
        </w:rPr>
      </w:pPr>
      <w:r>
        <w:rPr>
          <w:rFonts w:ascii="Times New Roman" w:hAnsi="Times New Roman"/>
          <w:sz w:val="20"/>
        </w:rPr>
        <w:t xml:space="preserve">(i) reduce the principal, or change the stated maturity, of any Note; </w:t>
      </w:r>
    </w:p>
    <w:p>
      <w:pPr>
        <w:pStyle w:val="TextBody"/>
        <w:bidi w:val="0"/>
        <w:spacing w:before="240" w:after="0"/>
        <w:jc w:val="left"/>
        <w:rPr>
          <w:rFonts w:ascii="Times New Roman" w:hAnsi="Times New Roman"/>
          <w:sz w:val="20"/>
        </w:rPr>
      </w:pPr>
      <w:r>
        <w:rPr>
          <w:rFonts w:ascii="Times New Roman" w:hAnsi="Times New Roman"/>
          <w:sz w:val="20"/>
        </w:rPr>
        <w:t xml:space="preserve">(ii) reduce the Redemption Price or the Fundamental Change Repurchase Price for any Note or change the times at which, or the circumstances under which, the Notes may or will be redeemed or repurchased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reduce the rate, or extend the time for the payment, of interest on any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reduce the Maturity Premium or change the times at which, or the circumstances under which, the Maturity Premium is payable with respect to any Notes; </w:t>
      </w:r>
    </w:p>
    <w:p>
      <w:pPr>
        <w:pStyle w:val="TextBody"/>
        <w:bidi w:val="0"/>
        <w:spacing w:before="240" w:after="0"/>
        <w:jc w:val="left"/>
        <w:rPr>
          <w:rFonts w:ascii="Times New Roman" w:hAnsi="Times New Roman"/>
          <w:sz w:val="20"/>
        </w:rPr>
      </w:pPr>
      <w:r>
        <w:rPr>
          <w:rFonts w:ascii="Times New Roman" w:hAnsi="Times New Roman"/>
          <w:sz w:val="20"/>
        </w:rPr>
        <w:t xml:space="preserve">(v) make any change that adversely affects the Exchange rights of any Note; </w:t>
      </w:r>
    </w:p>
    <w:p>
      <w:pPr>
        <w:pStyle w:val="TextBody"/>
        <w:bidi w:val="0"/>
        <w:spacing w:before="240" w:after="0"/>
        <w:jc w:val="left"/>
        <w:rPr>
          <w:rFonts w:ascii="Times New Roman" w:hAnsi="Times New Roman"/>
          <w:sz w:val="20"/>
        </w:rPr>
      </w:pPr>
      <w:r>
        <w:rPr>
          <w:rFonts w:ascii="Times New Roman" w:hAnsi="Times New Roman"/>
          <w:sz w:val="20"/>
        </w:rPr>
        <w:t xml:space="preserve">(vi) impair the rights of any Holder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7.08</w:t>
      </w:r>
      <w:r>
        <w:rPr>
          <w:rFonts w:ascii="Times New Roman" w:hAnsi="Times New Roman"/>
          <w:sz w:val="20"/>
        </w:rPr>
        <w:t xml:space="preserve"> (as such section is in effect on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(vii) change the ranking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(viii) modify or amend the terms and conditions of the obligations of the Parent Guarantor in any manner that is adverse to the rights of the Holders, as such, other than: (i) any elimination of the guarantee in accordance with the indenture; or (ii) to give effect to any Parent Guarantor Business Combination Event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(ix) make any Note payable in money, or at a place of payment, other than that stated in this Indenture or the Note; </w:t>
      </w:r>
    </w:p>
    <w:p>
      <w:pPr>
        <w:pStyle w:val="TextBody"/>
        <w:bidi w:val="0"/>
        <w:spacing w:before="240" w:after="0"/>
        <w:jc w:val="left"/>
        <w:rPr>
          <w:rFonts w:ascii="Times New Roman" w:hAnsi="Times New Roman"/>
          <w:sz w:val="20"/>
        </w:rPr>
      </w:pPr>
      <w:r>
        <w:rPr>
          <w:rFonts w:ascii="Times New Roman" w:hAnsi="Times New Roman"/>
          <w:sz w:val="20"/>
        </w:rPr>
        <w:t xml:space="preserve">(x) reduce the amount of Notes whose Holders must consent to any amendment, supplement, waiver or other modification; or </w:t>
      </w:r>
    </w:p>
    <w:p>
      <w:pPr>
        <w:pStyle w:val="TextBody"/>
        <w:bidi w:val="0"/>
        <w:spacing w:before="240" w:after="0"/>
        <w:jc w:val="left"/>
        <w:rPr>
          <w:rFonts w:ascii="Times New Roman" w:hAnsi="Times New Roman"/>
          <w:sz w:val="20"/>
        </w:rPr>
      </w:pPr>
      <w:r>
        <w:rPr>
          <w:rFonts w:ascii="Times New Roman" w:hAnsi="Times New Roman"/>
          <w:sz w:val="20"/>
        </w:rPr>
        <w:t xml:space="preserve">(xi) make any direct or indirect change to any amendment, supplement, waiver or modification provision of this Indenture or the Notes that requires the consent of each affected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Holders Need Not Approve the Particular Form of any Amendment</w:t>
      </w:r>
      <w:r>
        <w:rPr>
          <w:rFonts w:ascii="Times New Roman" w:hAnsi="Times New Roman"/>
          <w:sz w:val="20"/>
        </w:rPr>
        <w:t xml:space="preserve">. A consent of any Holder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need approve only the substance, and not necessarily the particular form, of the proposed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8.03 NOTICE OF AMENDMENTS, SUPPLEMENTS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any amendment, supplement or waiver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or </w:t>
      </w:r>
      <w:r>
        <w:rPr>
          <w:rFonts w:ascii="Times New Roman" w:hAnsi="Times New Roman"/>
          <w:b/>
          <w:sz w:val="20"/>
        </w:rPr>
        <w:t>8.02</w:t>
      </w:r>
      <w:r>
        <w:rPr>
          <w:rFonts w:ascii="Times New Roman" w:hAnsi="Times New Roman"/>
          <w:sz w:val="20"/>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provide such notice to the Holders if such amendment, supplement or waiver is included in a periodic report filed by the Company or the Parent Guarantor with the SEC within four (4) Business Days of its effectiveness. The failure to send, or the existence of any defect in, such notice will not impair or affect the validity of such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8.04 REVOCATION, EFFECT AND SOLICITATION OF CONSENTS; SPECIAL RECORD DATES;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Revocation and Effect of Consents</w:t>
      </w:r>
      <w:r>
        <w:rPr>
          <w:rFonts w:ascii="Times New Roman" w:hAnsi="Times New Roman"/>
          <w:sz w:val="20"/>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8.04(B)</w:t>
      </w:r>
      <w:r>
        <w:rPr>
          <w:rFonts w:ascii="Times New Roman" w:hAnsi="Times New Roman"/>
          <w:sz w:val="20"/>
        </w:rPr>
        <w:t xml:space="preserve">) any such consent with respect to such Note by delivering notice of revocation to the Trustee before the time such amendment, supplement or waiver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Special Record Dates</w:t>
      </w:r>
      <w:r>
        <w:rPr>
          <w:rFonts w:ascii="Times New Roman" w:hAnsi="Times New Roman"/>
          <w:sz w:val="20"/>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 w:hAnsi="Times New Roman"/>
          <w:b/>
          <w:sz w:val="20"/>
        </w:rPr>
        <w:t>Article 8</w:t>
      </w:r>
      <w:r>
        <w:rPr>
          <w:rFonts w:ascii="Times New Roman" w:hAnsi="Times New Roman"/>
          <w:sz w:val="20"/>
        </w:rPr>
        <w:t xml:space="preserve">. If a record date is fixed, then,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8.04(A)</w:t>
      </w:r>
      <w:r>
        <w:rPr>
          <w:rFonts w:ascii="Times New Roman" w:hAnsi="Times New Roman"/>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will be valid or effective for more than one hundred and twenty (120) calendar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Solicitation of Consents</w:t>
      </w:r>
      <w:r>
        <w:rPr>
          <w:rFonts w:ascii="Times New Roman" w:hAnsi="Times New Roman"/>
          <w:sz w:val="20"/>
        </w:rPr>
        <w:t xml:space="preserve">. For the avoidance of doubt, each reference in this Indenture or the Notes to the consent of a Holder will be deemed to include any such consent obtained in connection with a repurchase of, or tender or exchange offer for, any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Effectiveness and Binding Effect</w:t>
      </w:r>
      <w:r>
        <w:rPr>
          <w:rFonts w:ascii="Times New Roman" w:hAnsi="Times New Roman"/>
          <w:sz w:val="20"/>
        </w:rPr>
        <w:t xml:space="preserve">. Each amendment, supplement or waiver pursuant to this </w:t>
      </w:r>
      <w:r>
        <w:rPr>
          <w:rFonts w:ascii="Times New Roman" w:hAnsi="Times New Roman"/>
          <w:b/>
          <w:sz w:val="20"/>
        </w:rPr>
        <w:t>Article 8</w:t>
      </w:r>
      <w:r>
        <w:rPr>
          <w:rFonts w:ascii="Times New Roman" w:hAnsi="Times New Roman"/>
          <w:sz w:val="20"/>
        </w:rPr>
        <w:t xml:space="preserve"> will become effective in accordance with its terms and, when it becomes effective with respect to any Note (or any portion thereof), will thereafter bind every Holder of such Note (or such portion).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8.05 NOTATIONS AND EXCHANGES. </w:t>
      </w:r>
    </w:p>
    <w:p>
      <w:pPr>
        <w:pStyle w:val="TextBody"/>
        <w:bidi w:val="0"/>
        <w:spacing w:before="120" w:after="0"/>
        <w:jc w:val="left"/>
        <w:rPr>
          <w:rFonts w:ascii="Times New Roman" w:hAnsi="Times New Roman"/>
          <w:sz w:val="20"/>
        </w:rPr>
      </w:pPr>
      <w:r>
        <w:rPr>
          <w:rFonts w:ascii="Times New Roman" w:hAnsi="Times New Roman"/>
          <w:sz w:val="20"/>
        </w:rPr>
        <w:t xml:space="preserve">If any amendment, supplement or waiver changes the terms of a Note, then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new Note that reflects the changed terms. The failure to make any appropriate notation or issue a new Note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will not impair or affect the validity of such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8.06 TRUSTEE TO EXECUTE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execute and deliver any amendment or supplemental indenture authorized pursuant to this </w:t>
      </w:r>
      <w:r>
        <w:rPr>
          <w:rFonts w:ascii="Times New Roman" w:hAnsi="Times New Roman"/>
          <w:b/>
          <w:sz w:val="20"/>
        </w:rPr>
        <w:t>Article 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11.01</w:t>
      </w:r>
      <w:r>
        <w:rPr>
          <w:rFonts w:ascii="Times New Roman" w:hAnsi="Times New Roman"/>
          <w:sz w:val="20"/>
        </w:rPr>
        <w:t xml:space="preserve"> and </w:t>
      </w:r>
      <w:r>
        <w:rPr>
          <w:rFonts w:ascii="Times New Roman" w:hAnsi="Times New Roman"/>
          <w:b/>
          <w:sz w:val="20"/>
        </w:rPr>
        <w:t>11.02</w:t>
      </w:r>
      <w:r>
        <w:rPr>
          <w:rFonts w:ascii="Times New Roman" w:hAnsi="Times New Roman"/>
          <w:sz w:val="20"/>
        </w:rPr>
        <w:t xml:space="preserve">)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GUARANTEE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9.01 GUARANTEE.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By its execution of this Indenture (or any amended or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8.01(B)</w:t>
      </w:r>
      <w:r>
        <w:rPr>
          <w:rFonts w:ascii="Times New Roman" w:hAnsi="Times New Roman"/>
          <w:sz w:val="20"/>
        </w:rPr>
        <w:t xml:space="preserve">), the Parent Guarantor acknowledges and agrees that it receives substantial benefits from the Company and that the Parent Guarantor is providing its Guarantee for good and valuable consideration, including such substantial benefits. Subject to this </w:t>
      </w:r>
      <w:r>
        <w:rPr>
          <w:rFonts w:ascii="Times New Roman" w:hAnsi="Times New Roman"/>
          <w:b/>
          <w:sz w:val="20"/>
        </w:rPr>
        <w:t>Article 9</w:t>
      </w:r>
      <w:r>
        <w:rPr>
          <w:rFonts w:ascii="Times New Roman" w:hAnsi="Times New Roman"/>
          <w:sz w:val="20"/>
        </w:rPr>
        <w:t xml:space="preserve">, the Parent Guarantor hereby fully and unconditionally guarantees, to each Holder of a Note authenticated and delivered by the Trustee and to the Trustee and its successors and assigns, regardless of the validity or enforceability of this Indenture, the Notes or the obligations of the Company under this Indenture or the Notes, that: </w:t>
      </w:r>
    </w:p>
    <w:p>
      <w:pPr>
        <w:pStyle w:val="TextBody"/>
        <w:bidi w:val="0"/>
        <w:spacing w:before="120" w:after="0"/>
        <w:jc w:val="left"/>
        <w:rPr>
          <w:rFonts w:ascii="Times New Roman" w:hAnsi="Times New Roman"/>
          <w:sz w:val="20"/>
        </w:rPr>
      </w:pPr>
      <w:r>
        <w:rPr>
          <w:rFonts w:ascii="Times New Roman" w:hAnsi="Times New Roman"/>
          <w:sz w:val="20"/>
        </w:rPr>
        <w:t xml:space="preserve">(i) the principal of, any interest on, the Maturity Premium, if any, in respect of, and any Exchange Consideration for, the Notes will be promptly paid in full when due, whether at maturity, by acceleration, on a Fundamental Change Repurchase Date, upon Redemption or otherwise, and interest on the overdue principal of, any interest on, the Maturity Premium, if any, in respect of, or any Exchange Consideration for, the Notes, if lawful, and all other obligations of the Company to the Holders or the Trustee under this Indenture or the Notes, will be promptly paid or delivered in full or performed, as applicable, in each case in accordance with this Indenture and the Notes; and </w:t>
      </w:r>
    </w:p>
    <w:p>
      <w:pPr>
        <w:pStyle w:val="TextBody"/>
        <w:bidi w:val="0"/>
        <w:spacing w:before="240" w:after="0"/>
        <w:jc w:val="left"/>
        <w:rPr>
          <w:rFonts w:ascii="Times New Roman" w:hAnsi="Times New Roman"/>
          <w:sz w:val="20"/>
        </w:rPr>
      </w:pPr>
      <w:r>
        <w:rPr>
          <w:rFonts w:ascii="Times New Roman" w:hAnsi="Times New Roman"/>
          <w:sz w:val="20"/>
        </w:rPr>
        <w:t xml:space="preserve">(ii) in case of any extension of time of payment or renewal of any Notes or any of such other obligations, that the same will be promptly paid in full when due or performed in accordance with the terms of the extension or renewal, whether at stated maturity, by acceleration, on a Fundamental Change Repurchase Date, upon Redemption or otherwise, </w:t>
      </w:r>
    </w:p>
    <w:p>
      <w:pPr>
        <w:pStyle w:val="TextBody"/>
        <w:bidi w:val="0"/>
        <w:spacing w:before="240" w:after="0"/>
        <w:jc w:val="left"/>
        <w:rPr>
          <w:rFonts w:ascii="Times New Roman" w:hAnsi="Times New Roman"/>
          <w:sz w:val="20"/>
        </w:rPr>
      </w:pPr>
      <w:r>
        <w:rPr>
          <w:rFonts w:ascii="Times New Roman" w:hAnsi="Times New Roman"/>
          <w:sz w:val="20"/>
        </w:rPr>
        <w:t>(collectively, the “</w:t>
      </w:r>
      <w:r>
        <w:rPr>
          <w:rFonts w:ascii="Times New Roman" w:hAnsi="Times New Roman"/>
          <w:b/>
          <w:sz w:val="20"/>
        </w:rPr>
        <w:t>Guaranteed Obligations</w:t>
      </w:r>
      <w:r>
        <w:rPr>
          <w:rFonts w:ascii="Times New Roman" w:hAnsi="Times New Roman"/>
          <w:sz w:val="20"/>
        </w:rPr>
        <w:t xml:space="preserve">”), in each case subject to </w:t>
      </w: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failure of any payment when due of any amount so guaranteed, and upon the failure of any performance so guaranteed, for whatever reason, the Parent Guarantor will be obligated to pay or perform, as applicable, the same immediately. The Parent Guarantor agrees that this is a guarantee of payment and not a guarantee of collection.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Guarantee Is Unconditional; Waiver of Diligence, Presentment, Etc</w:t>
      </w:r>
      <w:r>
        <w:rPr>
          <w:rFonts w:ascii="Times New Roman" w:hAnsi="Times New Roman"/>
          <w:sz w:val="20"/>
        </w:rPr>
        <w:t xml:space="preserve">. The Parent Guarantor agrees that its Guarantee of the Guaranteed Obligations is unconditional, regardless of the validity or enforceability of this Indenture, the Notes or the obligations of the Company under this Indenture or the Notes, the absence of any action to enforce the same, any waiver or consent by any Holder with respect to any provisions of this Indenture or the Notes, the recovery of any judgment against the Company, any action to enforce the same or any other circumstance that might otherwise constitute a legal or equitable discharge or defense of a guarantor. The Parent Guarantor agrees that in the event of a default in any obligation of the Company under this Indenture or the Notes, including any payment of the principal of or interest on, the Maturity Premium, if any, in respect of, or any Exchange Consideration for the Notes when due, whether at maturity, by acceleration, on a Fundamental Change Repurchase Date or otherwise, legal proceedings may be instituted against the Parent Guarantor to enforce the Guarantee without first proceeding against the Company. The Parent Guarantor waives diligence, presentment, demand of payment, filing of claims with a court in the event of insolvency or bankruptcy of the Company, any right to require a proceeding first against the Company, protest, notice and all demands whatsoever, and covenants that this Guarantee will not be discharged except by complete performance of the obligations contained in this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Reinstatement of Guarantee Upon Return of Payments</w:t>
      </w:r>
      <w:r>
        <w:rPr>
          <w:rFonts w:ascii="Times New Roman" w:hAnsi="Times New Roman"/>
          <w:sz w:val="20"/>
        </w:rPr>
        <w:t xml:space="preserve">. If any Holder or the Trustee is required by any court or otherwise to return, to the Company, the Parent Guarantor or any custodian, trustee, liquidator or other similar official acting in relation to the Company or the Parent Guarantor, any consideration paid or delivered by the Company or the Parent Guarantor to such Holder or the Trustee, then the Guarantee, to the extent theretofore discharged, will be reinstated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Subrogation</w:t>
      </w:r>
      <w:r>
        <w:rPr>
          <w:rFonts w:ascii="Times New Roman" w:hAnsi="Times New Roman"/>
          <w:sz w:val="20"/>
        </w:rPr>
        <w:t xml:space="preserve">. The Parent Guarantor agrees that any right of subrogation, reimbursement or contribution it may have in relation to the Holders or in respect of any Guaranteed Obligations will be subordinated to, and will not be enforceable until payment in full of, all Guaranteed Obligations. The Parent Guarantor further agrees that, as between the Parent Guarantor, on the one hand, and the Holders and the Trustee, on the other hand, (i) the maturity of the Guaranteed Obligations may be accelerated as provided in </w:t>
      </w:r>
      <w:r>
        <w:rPr>
          <w:rFonts w:ascii="Times New Roman" w:hAnsi="Times New Roman"/>
          <w:b/>
          <w:sz w:val="20"/>
        </w:rPr>
        <w:t>Article 7</w:t>
      </w:r>
      <w:r>
        <w:rPr>
          <w:rFonts w:ascii="Times New Roman" w:hAnsi="Times New Roman"/>
          <w:sz w:val="20"/>
        </w:rPr>
        <w:t xml:space="preserve">, notwithstanding any stay, injunction or other prohibition preventing such acceleration in respect of the Guaranteed Obligations; and (ii) if any Guaranteed Obligations are accelerated pursuant to </w:t>
      </w:r>
      <w:r>
        <w:rPr>
          <w:rFonts w:ascii="Times New Roman" w:hAnsi="Times New Roman"/>
          <w:b/>
          <w:sz w:val="20"/>
        </w:rPr>
        <w:t>Article 7</w:t>
      </w:r>
      <w:r>
        <w:rPr>
          <w:rFonts w:ascii="Times New Roman" w:hAnsi="Times New Roman"/>
          <w:sz w:val="20"/>
        </w:rPr>
        <w:t xml:space="preserve">, then such Guaranteed Obligations will, whether or not due and payable, immediately become due and payable by the Parent Guarantor.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9.02 LIMITATION ON PARENT GUARANTOR LIABILITY. </w:t>
      </w:r>
    </w:p>
    <w:p>
      <w:pPr>
        <w:pStyle w:val="TextBody"/>
        <w:bidi w:val="0"/>
        <w:spacing w:before="120" w:after="0"/>
        <w:jc w:val="left"/>
        <w:rPr>
          <w:rFonts w:ascii="Times New Roman" w:hAnsi="Times New Roman"/>
          <w:sz w:val="20"/>
        </w:rPr>
      </w:pPr>
      <w:r>
        <w:rPr>
          <w:rFonts w:ascii="Times New Roman" w:hAnsi="Times New Roman"/>
          <w:sz w:val="20"/>
        </w:rPr>
        <w:t xml:space="preserve">The Parent Guarantor, and, by its acceptance of any Note, each Holder, confirms that the Parent Guarantor and the Holders intend that the Guarantee of the Parent Guarantor not constitute a fraudulent transfer or conveyance for purposes of Bankruptcy Law, the Uniform Fraudulent Conveyance Act, the Uniform Fraudulent Transfer Act or any similar federal or state law to the extent applicable to the Guarantee. Each of the Trustee, the Holders and the Parent Guarantor irrevocably agrees that the obligations of the Parent Guarantor under its Guarantee will be limited to the maximum amount that will, after giving effect to such maximum amount and all other contingent and fixed liabilities of the Parent Guarantor that are relevant under such laws, result in the obligations of the Parent Guarantor under its Guarantee not constituting a fraudulent transfer or conveyance.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9.03 EXECUTION AND DELIVERY OF GUARANTEE. </w:t>
      </w:r>
    </w:p>
    <w:p>
      <w:pPr>
        <w:pStyle w:val="TextBody"/>
        <w:bidi w:val="0"/>
        <w:spacing w:before="120" w:after="0"/>
        <w:jc w:val="left"/>
        <w:rPr>
          <w:rFonts w:ascii="Times New Roman" w:hAnsi="Times New Roman"/>
          <w:sz w:val="20"/>
        </w:rPr>
      </w:pPr>
      <w:r>
        <w:rPr>
          <w:rFonts w:ascii="Times New Roman" w:hAnsi="Times New Roman"/>
          <w:sz w:val="20"/>
        </w:rPr>
        <w:t xml:space="preserve">The execution by the Parent Guarantor of this Indenture (or an amended or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8.01(B)</w:t>
      </w:r>
      <w:r>
        <w:rPr>
          <w:rFonts w:ascii="Times New Roman" w:hAnsi="Times New Roman"/>
          <w:sz w:val="20"/>
        </w:rPr>
        <w:t xml:space="preserve">) evidences the Guarantee of the Parent Guarantor, and the delivery of any Note by the Trustee after its authentication constitutes due delivery of the Guarantee on behalf of the Parent Guarantor. A Guarantee’s validity will not be affected by the failure of any officer of the Parent Guarantor executing this Indenture or any such amended or supplemental indenture on the Parent Guarantor’s behalf to hold, at the time any Note is authenticated, the same or any other office at the Parent Guarantor, and the Guarantee will be valid and enforceable even if no notation, certificate or other instrument is set upon or attached to, or otherwise executed and delivered to the Holder of, any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9.04 WHEN THE PARENT GUARANTOR MAY MERGE,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Parent Guarantor will not consolidate with or merge with or into, or (directly, or indirectly through one or more of its Subsidiaries) sell, lease or otherwise transfer, in one transaction or a series of transactions, all or substantially all of the assets of the Parent Guarantor and its Subsidiaries, taken as a whole, to another Person (a “</w:t>
      </w:r>
      <w:r>
        <w:rPr>
          <w:rFonts w:ascii="Times New Roman" w:hAnsi="Times New Roman"/>
          <w:b/>
          <w:sz w:val="20"/>
        </w:rPr>
        <w:t>Parent Guarantor Business Combination Event</w:t>
      </w:r>
      <w:r>
        <w:rPr>
          <w:rFonts w:ascii="Times New Roman" w:hAnsi="Times New Roman"/>
          <w:sz w:val="20"/>
        </w:rPr>
        <w:t xml:space="preserve">”),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the resulting, surviving or transferee Person either (x) is the Parent Guarantor or (y) if not the Parent Guarantor, is a Qualified Successor Entity (such Qualified Successor Entity, the “</w:t>
      </w:r>
      <w:r>
        <w:rPr>
          <w:rFonts w:ascii="Times New Roman" w:hAnsi="Times New Roman"/>
          <w:b/>
          <w:sz w:val="20"/>
        </w:rPr>
        <w:t>Parent Guarantor Successor Entity</w:t>
      </w:r>
      <w:r>
        <w:rPr>
          <w:rFonts w:ascii="Times New Roman" w:hAnsi="Times New Roman"/>
          <w:sz w:val="20"/>
        </w:rPr>
        <w:t xml:space="preserve">”) duly organized and existing under the laws of the United States of America, any State thereof or the District of Columbia that expressly assumes (by executing and delivering to the Trustee, at or before the effective time of such Parent Guarantor Business Combination Event,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8.01(E)</w:t>
      </w:r>
      <w:r>
        <w:rPr>
          <w:rFonts w:ascii="Times New Roman" w:hAnsi="Times New Roman"/>
          <w:sz w:val="20"/>
        </w:rPr>
        <w:t xml:space="preserve">) all of the Parent Guarantor’s obligations under this Indenture, the Notes and the Registration Rights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(ii) immediately after giving effect to such Parent Guarantor Business Combination Event, no Default or Event of Default will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Officer’s Certificate and Opinion of Counsel to the Trustee</w:t>
      </w:r>
      <w:r>
        <w:rPr>
          <w:rFonts w:ascii="Times New Roman" w:hAnsi="Times New Roman"/>
          <w:sz w:val="20"/>
        </w:rPr>
        <w:t xml:space="preserve">. At or before the effective time of any Parent Guarantor Business Combination Event, the Company will deliver to the Trustee an Officer’s Certificate and Opinion of Counsel, each stating that (i) such Parent Guarantor Business Combination Event (and, if applicable, the related supplemental indenture) comply with </w:t>
      </w:r>
      <w:r>
        <w:rPr>
          <w:rFonts w:ascii="Times New Roman" w:hAnsi="Times New Roman"/>
          <w:b/>
          <w:sz w:val="20"/>
        </w:rPr>
        <w:t>Section</w:t>
      </w:r>
      <w:r>
        <w:rPr>
          <w:rFonts w:ascii="Times New Roman" w:hAnsi="Times New Roman"/>
          <w:sz w:val="20"/>
        </w:rPr>
        <w:t> </w:t>
      </w:r>
      <w:r>
        <w:rPr>
          <w:rFonts w:ascii="Times New Roman" w:hAnsi="Times New Roman"/>
          <w:b/>
          <w:sz w:val="20"/>
        </w:rPr>
        <w:t>9.04(A)</w:t>
      </w:r>
      <w:r>
        <w:rPr>
          <w:rFonts w:ascii="Times New Roman" w:hAnsi="Times New Roman"/>
          <w:sz w:val="20"/>
        </w:rPr>
        <w:t xml:space="preserve">; and (ii) all conditions precedent to such Parent Guarantor Business Combination Event provided in this Indenture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Parent Guarantor Successor Entity Substituted</w:t>
      </w:r>
      <w:r>
        <w:rPr>
          <w:rFonts w:ascii="Times New Roman" w:hAnsi="Times New Roman"/>
          <w:sz w:val="20"/>
        </w:rPr>
        <w:t xml:space="preserve">. At the effective time of any Parent Guarantor Business Combination Event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9.04(A)</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9.04(B)</w:t>
      </w:r>
      <w:r>
        <w:rPr>
          <w:rFonts w:ascii="Times New Roman" w:hAnsi="Times New Roman"/>
          <w:sz w:val="20"/>
        </w:rPr>
        <w:t xml:space="preserve">, the Parent Guarantor Successor Entity (if not the Parent Guarantor) will succeed to, and may exercise every right and power of, the Parent Guarantor under this Indenture, the Registration Rights Agreement (if any) and the Notes with the same effect as if such Parent Guarantor Successor Entity had been named as the Parent Guarantor in this Indenture, the Registration Rights Agreement and the Notes, and, except in the case of a lease, the predecessor Parent Guarantor will be discharged from its obligations under this Indenture, the Notes and (unless the Underlying Security immediately after such Parent Guarantor Business Combination Event includes any securities of such predecessor Parent Guarantor)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Exclusion for Asset Transfers to the Company or its Wholly Owned Subsidiaries</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this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will not apply to any transfer of assets (not effected by merger or consolidation) between or among (x) the Parent Guarantor; and (y) the Company or any one or more of the Company’s or the Parent Guarantor’s Wholly Owned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9.05 APPLICATION OF CERTAIN PROVISIONS TO THE PARENT GUARANTOR.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Officer’s Certificates and Opinions of Counsel</w:t>
      </w:r>
      <w:r>
        <w:rPr>
          <w:rFonts w:ascii="Times New Roman" w:hAnsi="Times New Roman"/>
          <w:sz w:val="20"/>
        </w:rPr>
        <w:t xml:space="preserve">. Upon any request or application by the Parent Guarantor to the Trustee to take any action under this Indenture, the Trustee will be entitled to receive an Officer’s Certificate and an Opinion of Counsel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12.02</w:t>
      </w:r>
      <w:r>
        <w:rPr>
          <w:rFonts w:ascii="Times New Roman" w:hAnsi="Times New Roman"/>
          <w:sz w:val="20"/>
        </w:rPr>
        <w:t xml:space="preserve"> with the same effect as if each reference to the Company in </w:t>
      </w:r>
      <w:r>
        <w:rPr>
          <w:rFonts w:ascii="Times New Roman" w:hAnsi="Times New Roman"/>
          <w:b/>
          <w:sz w:val="20"/>
        </w:rPr>
        <w:t>Section</w:t>
      </w:r>
      <w:r>
        <w:rPr>
          <w:rFonts w:ascii="Times New Roman" w:hAnsi="Times New Roman"/>
          <w:sz w:val="20"/>
        </w:rPr>
        <w:t> </w:t>
      </w:r>
      <w:r>
        <w:rPr>
          <w:rFonts w:ascii="Times New Roman" w:hAnsi="Times New Roman"/>
          <w:b/>
          <w:sz w:val="20"/>
        </w:rPr>
        <w:t>12.02</w:t>
      </w:r>
      <w:r>
        <w:rPr>
          <w:rFonts w:ascii="Times New Roman" w:hAnsi="Times New Roman"/>
          <w:sz w:val="20"/>
        </w:rPr>
        <w:t xml:space="preserve"> or in the definitions of “Officer,” “Officer’s Certificate” or “Opinion of Counsel” were instead a reference to the Parent Guarantor.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Company Order</w:t>
      </w:r>
      <w:r>
        <w:rPr>
          <w:rFonts w:ascii="Times New Roman" w:hAnsi="Times New Roman"/>
          <w:sz w:val="20"/>
        </w:rPr>
        <w:t xml:space="preserve">. A Company Order may be given by the Parent Guarantor with the same effect as if each reference to the Company in the definitions of “Company Order” or “Officer” were instead a reference to the Parent Guarantor.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Notices and Demands</w:t>
      </w:r>
      <w:r>
        <w:rPr>
          <w:rFonts w:ascii="Times New Roman" w:hAnsi="Times New Roman"/>
          <w:sz w:val="20"/>
        </w:rPr>
        <w:t xml:space="preserve">. Any notice or demand that this Indenture requires or permits to be given by the Trustee, or by any Holders, to the Company may instead be given to the Parent Guarantor.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9.06 AUTOMATIC RELEASE OF GUARANTEE. </w:t>
      </w:r>
    </w:p>
    <w:p>
      <w:pPr>
        <w:pStyle w:val="TextBody"/>
        <w:bidi w:val="0"/>
        <w:spacing w:before="120" w:after="0"/>
        <w:jc w:val="left"/>
        <w:rPr>
          <w:rFonts w:ascii="Times New Roman" w:hAnsi="Times New Roman"/>
          <w:sz w:val="20"/>
        </w:rPr>
      </w:pPr>
      <w:r>
        <w:rPr>
          <w:rFonts w:ascii="Times New Roman" w:hAnsi="Times New Roman"/>
          <w:sz w:val="20"/>
        </w:rPr>
        <w:t xml:space="preserve">The Guarantee of the Parent Guarantor will be automatically released, and the Parent Guarantor’s obligations under its Guarantee will be automatically released and discharged, and, in each case, be of no future force and effect, upon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the Company’s obligations under this Indenture and the Notes are discharged in accordance with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merger or consolidation of the Parent Guarantor into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(C) all remaining obligations to make payments or deliver other Exchange Consideration with respect to all Notes are discharged in full after the same has become due.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Section 9.06 will not limit the operation of Section 5.09.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SATISFACTION AND DISCHARGE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TERMINATION OF COMPANY’S OBLIGATIONS.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will be discharged, and will cease to be of further effect as to all Notes issued under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all Notes then outstanding (other than Notes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have (i) been delivered to the Trustee for cancellation; or (ii) become due and payable (whether on a Redemption Date, a Fundamental Change Repurchase Date, the Maturity Date, upon Exchange or otherwise) for an amount of cash or Exchange Consideration, as applicable, that has been fixed;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caused there to be irrevocably deposited with the Trustee, or with the Paying Agent (or, with respect to Exchange Consideration, the Exchange Agent), in each case for the benefit of the Holders, or has otherwise caused there to be delivered to the Holders, cash (or, with respect to Notes to be Exchanged, Exchange Consideration) sufficient to satisfy all amounts or other property due on all Notes then outstanding (other than Notes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paid all other amounts payable by it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delivered to the Trustee an Officer’s Certificate and an Opinion of Counsel, each stating that the conditions precedent to the discharge of this Indenture have been satisfied;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r>
        <w:rPr>
          <w:rFonts w:ascii="Times New Roman" w:hAnsi="Times New Roman"/>
          <w:b/>
          <w:sz w:val="20"/>
        </w:rPr>
        <w:t>Section</w:t>
      </w:r>
      <w:r>
        <w:rPr>
          <w:rFonts w:ascii="Times New Roman" w:hAnsi="Times New Roman"/>
          <w:sz w:val="20"/>
        </w:rPr>
        <w:t> </w:t>
      </w:r>
      <w:r>
        <w:rPr>
          <w:rFonts w:ascii="Times New Roman" w:hAnsi="Times New Roman"/>
          <w:b/>
          <w:sz w:val="20"/>
        </w:rPr>
        <w:t>2.10(E)</w:t>
      </w:r>
      <w:r>
        <w:rPr>
          <w:rFonts w:ascii="Times New Roman" w:hAnsi="Times New Roman"/>
          <w:sz w:val="20"/>
        </w:rPr>
        <w:t xml:space="preserve">, </w:t>
      </w:r>
      <w:r>
        <w:rPr>
          <w:rFonts w:ascii="Times New Roman" w:hAnsi="Times New Roman"/>
          <w:b/>
          <w:sz w:val="20"/>
        </w:rPr>
        <w:t>Article 11</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xml:space="preserve"> will survive such discharge and, until no Notes remain outstanding,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and the obligations of the Trustee, the Paying Agent and the Exchange Agent with respect to money or other property deposited with them will survive such discharge.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will acknowledge the satisfaction and discharge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10.02 REPAYMENT TO COMPANY. </w:t>
      </w:r>
    </w:p>
    <w:p>
      <w:pPr>
        <w:pStyle w:val="TextBody"/>
        <w:bidi w:val="0"/>
        <w:spacing w:before="120" w:after="0"/>
        <w:jc w:val="left"/>
        <w:rPr>
          <w:rFonts w:ascii="Times New Roman" w:hAnsi="Times New Roman"/>
          <w:sz w:val="20"/>
        </w:rPr>
      </w:pPr>
      <w:r>
        <w:rPr>
          <w:rFonts w:ascii="Times New Roman" w:hAnsi="Times New Roman"/>
          <w:sz w:val="20"/>
        </w:rPr>
        <w:t xml:space="preserve">The Trustee, the Paying Agent and the Exchange Agent will promptly notify the Company if there exists (and, at the Company’s request, promptly deliver to the Company) any cash, Exchange Consideration or other property held by any of them for payment or delivery on the Notes that remain unclaimed two (2) years after the date on which such payment or delivery was due. After such delivery to the Company, the Trustee, the Paying Agent and the Exchange Agent will have no further liability to any Holder with respect to such cash, Exchange Consideration or other property, and Holders entitled to the payment or delivery of such cash, Exchange Consideration or other property must look to the Company for payment as a general creditor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10.03 REINSTATEMENT.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the Paying Agent or the Exchange Agent is unable to apply any cash or other property deposited with it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will be rescinded;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Exchange Agent,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- 58 -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11.01 DUTIES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has occurred and is continuing, and a Responsible Officer of the Trustee has written notice of the same, then,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11.02(F)</w:t>
      </w:r>
      <w:r>
        <w:rPr>
          <w:rFonts w:ascii="Times New Roman" w:hAnsi="Times New Roman"/>
          <w:sz w:val="20"/>
        </w:rPr>
        <w:t xml:space="preserve">, the Trustee will exercise such of the rights and powers vested in it by this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sz w:val="20"/>
        </w:rPr>
        <w:t xml:space="preserve">(ii) 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will examine the certificates and opinions to determine whether or not they conform to the requirements of this Indenture (but need not confirm or investigate the accuracy of mathematical calculations or other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liabilities for its negligence or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will not limit the effect of </w:t>
      </w:r>
      <w:r>
        <w:rPr>
          <w:rFonts w:ascii="Times New Roman" w:hAnsi="Times New Roman"/>
          <w:b/>
          <w:sz w:val="20"/>
        </w:rPr>
        <w:t>Section</w:t>
      </w:r>
      <w:r>
        <w:rPr>
          <w:rFonts w:ascii="Times New Roman" w:hAnsi="Times New Roman"/>
          <w:sz w:val="20"/>
        </w:rPr>
        <w:t> </w:t>
      </w:r>
      <w:r>
        <w:rPr>
          <w:rFonts w:ascii="Times New Roman" w:hAnsi="Times New Roman"/>
          <w:b/>
          <w:sz w:val="20"/>
        </w:rPr>
        <w:t>11.01(B)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will not be liable for any error of judgment made in good faith by a Responsible Officer, unless it is proved that the Trustee was negligent in ascertaining the pertinent facts; and </w:t>
      </w:r>
    </w:p>
    <w:p>
      <w:pPr>
        <w:pStyle w:val="TextBody"/>
        <w:bidi w:val="0"/>
        <w:spacing w:before="240" w:after="0"/>
        <w:jc w:val="left"/>
        <w:rPr>
          <w:rFonts w:ascii="Times New Roman" w:hAnsi="Times New Roman"/>
          <w:sz w:val="20"/>
        </w:rPr>
      </w:pPr>
      <w:r>
        <w:rPr>
          <w:rFonts w:ascii="Times New Roman" w:hAnsi="Times New Roman"/>
          <w:sz w:val="20"/>
        </w:rPr>
        <w:t xml:space="preserve">(iii) the Trustee will not be liable with respect to any action it takes or omits to take in good faith in accordance with a direction received by it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provision of this Indenture will require the Trustee to expend or risk its own funds or incur any liability in the performance of any of its duties or in the exercise of any of its rights or powers. </w:t>
      </w:r>
    </w:p>
    <w:p>
      <w:pPr>
        <w:pStyle w:val="TextBody"/>
        <w:bidi w:val="0"/>
        <w:spacing w:before="240" w:after="0"/>
        <w:jc w:val="left"/>
        <w:rPr>
          <w:rFonts w:ascii="Times New Roman" w:hAnsi="Times New Roman"/>
          <w:sz w:val="20"/>
        </w:rPr>
      </w:pPr>
      <w:r>
        <w:rPr>
          <w:rFonts w:ascii="Times New Roman" w:hAnsi="Times New Roman"/>
          <w:sz w:val="20"/>
        </w:rPr>
        <w:t xml:space="preserve">(E) The Trustee will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(F) The Trustee will not be liable in its individual capacity for the obligations evidenced by the Notes. </w:t>
      </w:r>
    </w:p>
    <w:p>
      <w:pPr>
        <w:pStyle w:val="TextBody"/>
        <w:bidi w:val="0"/>
        <w:spacing w:before="240" w:after="0"/>
        <w:jc w:val="left"/>
        <w:rPr>
          <w:rFonts w:ascii="Times New Roman" w:hAnsi="Times New Roman"/>
          <w:sz w:val="20"/>
        </w:rPr>
      </w:pPr>
      <w:r>
        <w:rPr>
          <w:rFonts w:ascii="Times New Roman" w:hAnsi="Times New Roman"/>
          <w:sz w:val="20"/>
        </w:rPr>
        <w:t xml:space="preserve">(G) Each provision of this Indenture that in any way relates to the Trustee (including any provision that affects the liability of, or affords protection to, the Trustee) is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regardless of whether such provision so expressly provides.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11.02 RIGHTS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on any document that it believes to be genuine and signed or presented by the proper Person, and the Trustee need not investigate any fact or matter stated in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act through its attorneys and agents and will not be responsible for the misconduct or negligence of any such agent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will not be liable for any action it takes or omits to take in good faith and that it believes to be authorized or within the rights or powers vested in it by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Unless otherwise specifically provided in this Indenture, any demand, request, direction or notice from the Company will be sufficient if signed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need not exercise any rights or powers vested in it by this Indenture at the request or direction of any Holder unless such Holder has offered (and, if requested, provided) the Trustee security and/or indemnity satisfactory to the Trustee against any loss, liability or expense that it may incur in complying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(G) The Trustee will not be responsible or liable for any punitive, special, indirect or consequential loss or damage (including lost profits), even if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(H) The permissive rights of the Trustee set forth in this Indenture will not be construed as duties imposed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will not be required to give any bond or surety in respect of the execution or performance of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Unless a Responsible Officer of the Trustee has received written notice from the Company that Additional Interest or Special Interest is owing or accruing, on the Notes, the Trustee may assume that no Additional Interest or Special Interest, as applicable, is payable or accruing. </w:t>
      </w:r>
    </w:p>
    <w:p>
      <w:pPr>
        <w:pStyle w:val="TextBody"/>
        <w:bidi w:val="0"/>
        <w:spacing w:before="24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its right to be indemnified, are extended to, and will be enforceable by, the Trustee in each of its capacities under this Indenture, including as Note Agent. </w:t>
      </w:r>
    </w:p>
    <w:p>
      <w:pPr>
        <w:pStyle w:val="TextBody"/>
        <w:bidi w:val="0"/>
        <w:spacing w:before="240" w:after="0"/>
        <w:jc w:val="left"/>
        <w:rPr>
          <w:rFonts w:ascii="Times New Roman" w:hAnsi="Times New Roman"/>
          <w:sz w:val="20"/>
        </w:rPr>
      </w:pPr>
      <w:r>
        <w:rPr>
          <w:rFonts w:ascii="Times New Roman" w:hAnsi="Times New Roman"/>
          <w:sz w:val="20"/>
        </w:rPr>
        <w:t xml:space="preserve">(L) The Trustee will not be charged with knowledge of any document or agreement other than this Indenture and the Notes (including the Registration Rights Agreement and any Notice and Questionnaire(s)). </w:t>
      </w:r>
    </w:p>
    <w:p>
      <w:pPr>
        <w:pStyle w:val="TextBody"/>
        <w:bidi w:val="0"/>
        <w:spacing w:before="240" w:after="0"/>
        <w:jc w:val="left"/>
        <w:rPr>
          <w:rFonts w:ascii="Times New Roman" w:hAnsi="Times New Roman"/>
          <w:sz w:val="20"/>
        </w:rPr>
      </w:pPr>
      <w:r>
        <w:rPr>
          <w:rFonts w:ascii="Times New Roman" w:hAnsi="Times New Roman"/>
          <w:sz w:val="20"/>
        </w:rPr>
        <w:t xml:space="preserve">(M) 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11.03 INDIVIDUAL RIGHTS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11.04 TRUSTEE’S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11.05 NOTICE OF DEFAULTS. </w:t>
      </w:r>
    </w:p>
    <w:p>
      <w:pPr>
        <w:pStyle w:val="TextBody"/>
        <w:bidi w:val="0"/>
        <w:spacing w:before="120" w:after="0"/>
        <w:jc w:val="left"/>
        <w:rPr>
          <w:rFonts w:ascii="Times New Roman" w:hAnsi="Times New Roman"/>
          <w:sz w:val="20"/>
        </w:rPr>
      </w:pPr>
      <w:r>
        <w:rPr>
          <w:rFonts w:ascii="Times New Roman" w:hAnsi="Times New Roman"/>
          <w:sz w:val="20"/>
        </w:rPr>
        <w:t xml:space="preserve">If a Default or Event of Default occurs and is continuing and notice of such Default or Event of Default has been received by a Responsible Officer of the Trustee, then the Trustee will send Holders a notice of such Default or Event of Default within ninety (90) days after a Responsible Officer of the Trustee receives such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or Event of Default in the payment of the principal of, or interest on, or the Maturity Premium, if any, in respect of, any Note, the Trustee may withhold such notice if and for so long as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good faith determines that withholding such notice is in the interests of the Holders. The Trustee will not be deemed to have notice or be charged with knowledge of any Default or Event of Default unless written notice thereof has been received by a Responsible Officer, and such notice references the Notes and this Indenture and states on its face that a Default or Event of Default has occurred. For the avoidance of doubt, the Trustee will not be required to deliver such notice at any time after such Default or Event of Default is cured or waived.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11.06 COMPENSATION AND INDEMNITY.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from time to time, pay the Trustee reasonable compensation for its acceptance of this Indenture and services under this Indenture, as separately agreed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indemnify the Trustee (in each of its capacities under this Indenture) and its directors, officers, employees and agents, in their capacities as such, against any and all losses, liabilities, claims, charges, costs or expenses incurred by it arising out of or in connection with the acceptance or administration of its duties under this Indenture, including the costs and expenses of enforcing this Indenture against the Company (including this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claim, charge, cost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11.06(B)</w:t>
      </w:r>
      <w:r>
        <w:rPr>
          <w:rFonts w:ascii="Times New Roman" w:hAnsi="Times New Roman"/>
          <w:sz w:val="20"/>
        </w:rPr>
        <w:t xml:space="preserve">,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Company under this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will survive the resignation or removal of the Trustee and the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To secure the Company’s payment obligations in this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the Trustee will have a lien prior to the Notes on all money or property held or collected by the Trustee, except that held in trust to pay principal of, or interest on, particular Notes, which lien will survive the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incurs expenses or renders services after an Event of Default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(x)</w:t>
      </w:r>
      <w:r>
        <w:rPr>
          <w:rFonts w:ascii="Times New Roman" w:hAnsi="Times New Roman"/>
          <w:sz w:val="20"/>
        </w:rPr>
        <w:t xml:space="preserve"> or </w:t>
      </w:r>
      <w:r>
        <w:rPr>
          <w:rFonts w:ascii="Times New Roman" w:hAnsi="Times New Roman"/>
          <w:b/>
          <w:sz w:val="20"/>
        </w:rPr>
        <w:t>(xi)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occurs, then such expenses and the compensation for such services (including the fees and expenses of its agents and counsel) are intended to constitute expenses of administration under any Bankruptcy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11.07 REPLACEMENT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11.07</w:t>
      </w:r>
      <w:r>
        <w:rPr>
          <w:rFonts w:ascii="Times New Roman" w:hAnsi="Times New Roman"/>
          <w:sz w:val="20"/>
        </w:rPr>
        <w:t xml:space="preserve">, a resignation or removal of the Trustee, and the appointment of a successor Trustee, will become effective only upon such successor Trustee’s acceptance of appointment as provided in this </w:t>
      </w:r>
      <w:r>
        <w:rPr>
          <w:rFonts w:ascii="Times New Roman" w:hAnsi="Times New Roman"/>
          <w:b/>
          <w:sz w:val="20"/>
        </w:rPr>
        <w:t>Section</w:t>
      </w:r>
      <w:r>
        <w:rPr>
          <w:rFonts w:ascii="Times New Roman" w:hAnsi="Times New Roman"/>
          <w:sz w:val="20"/>
        </w:rPr>
        <w:t> </w:t>
      </w:r>
      <w:r>
        <w:rPr>
          <w:rFonts w:ascii="Times New Roman" w:hAnsi="Times New Roman"/>
          <w:b/>
          <w:sz w:val="20"/>
        </w:rPr>
        <w:t>11.07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and be discharged from the trust created by this Indenture by so notifying the Company. The Holders of a majority in aggregate principal amount of the Notes then outstanding may remove the Trustee upon thirty days’ written notice to the Trustee and the Company. The Company may remove the Trustee if: </w:t>
      </w:r>
    </w:p>
    <w:p>
      <w:pPr>
        <w:pStyle w:val="TextBody"/>
        <w:bidi w:val="0"/>
        <w:spacing w:before="120" w:after="0"/>
        <w:jc w:val="left"/>
        <w:rPr>
          <w:rFonts w:ascii="Times New Roman" w:hAnsi="Times New Roman"/>
          <w:sz w:val="20"/>
        </w:rPr>
      </w:pPr>
      <w:r>
        <w:rPr>
          <w:rFonts w:ascii="Times New Roman" w:hAnsi="Times New Roman"/>
          <w:sz w:val="20"/>
        </w:rPr>
        <w:t xml:space="preserve">(i) the Trustee fails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11.09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Trustee is adjudged to be bankrupt or insolvent or an order for relief is entered with respect to the Trustee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(iii) a custodian or public officer takes charge of the Trustee or its property; or </w:t>
      </w:r>
    </w:p>
    <w:p>
      <w:pPr>
        <w:pStyle w:val="TextBody"/>
        <w:bidi w:val="0"/>
        <w:spacing w:before="240" w:after="0"/>
        <w:jc w:val="left"/>
        <w:rPr>
          <w:rFonts w:ascii="Times New Roman" w:hAnsi="Times New Roman"/>
          <w:sz w:val="20"/>
        </w:rPr>
      </w:pPr>
      <w:r>
        <w:rPr>
          <w:rFonts w:ascii="Times New Roman" w:hAnsi="Times New Roman"/>
          <w:sz w:val="20"/>
        </w:rPr>
        <w:t xml:space="preserve">(iv)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(C) If the Trustee resigns or is removed, or if a vacancy exists in the office of the Trustee for any reason, then (i) the Company will promptly appoint a successor Trustee complying with </w:t>
      </w:r>
      <w:r>
        <w:rPr>
          <w:rFonts w:ascii="Times New Roman" w:hAnsi="Times New Roman"/>
          <w:b/>
          <w:sz w:val="20"/>
        </w:rPr>
        <w:t>Section</w:t>
      </w:r>
      <w:r>
        <w:rPr>
          <w:rFonts w:ascii="Times New Roman" w:hAnsi="Times New Roman"/>
          <w:sz w:val="20"/>
        </w:rPr>
        <w:t> </w:t>
      </w:r>
      <w:r>
        <w:rPr>
          <w:rFonts w:ascii="Times New Roman" w:hAnsi="Times New Roman"/>
          <w:b/>
          <w:sz w:val="20"/>
        </w:rPr>
        <w:t>11.09</w:t>
      </w:r>
      <w:r>
        <w:rPr>
          <w:rFonts w:ascii="Times New Roman" w:hAnsi="Times New Roman"/>
          <w:sz w:val="20"/>
        </w:rPr>
        <w:t xml:space="preserve">; and (ii) at any time within one (1) year after the successor Trustee takes office, the Holders of a majority in aggregate principal amount of the Notes then outstanding may appoint a successor Trustee complying with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11.09 </w:t>
      </w:r>
      <w:r>
        <w:rPr>
          <w:rFonts w:ascii="Times New Roman" w:hAnsi="Times New Roman"/>
          <w:sz w:val="20"/>
        </w:rPr>
        <w:t xml:space="preserve">to replace such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after written request by a Holder of at least six (6) months (or such lesser period since the Issue Date), fails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11.09</w:t>
      </w:r>
      <w:r>
        <w:rPr>
          <w:rFonts w:ascii="Times New Roman" w:hAnsi="Times New Roman"/>
          <w:sz w:val="20"/>
        </w:rPr>
        <w:t xml:space="preserve">, then such Holder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(F) 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11.06(D)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11.08 SUCCESSOR TRUSTEE BY MERGER, ETC. </w:t>
      </w:r>
    </w:p>
    <w:p>
      <w:pPr>
        <w:pStyle w:val="TextBody"/>
        <w:bidi w:val="0"/>
        <w:spacing w:before="120" w:after="0"/>
        <w:jc w:val="left"/>
        <w:rPr>
          <w:rFonts w:ascii="Times New Roman" w:hAnsi="Times New Roman"/>
          <w:sz w:val="20"/>
        </w:rPr>
      </w:pPr>
      <w:r>
        <w:rPr>
          <w:rFonts w:ascii="Times New Roman" w:hAnsi="Times New Roman"/>
          <w:sz w:val="20"/>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hAnsi="Times New Roman"/>
          <w:i/>
          <w:sz w:val="20"/>
        </w:rPr>
        <w:t>provided</w:t>
      </w:r>
      <w:r>
        <w:rPr>
          <w:rFonts w:ascii="Times New Roman" w:hAnsi="Times New Roman"/>
          <w:sz w:val="20"/>
        </w:rPr>
        <w:t xml:space="preserve"> that such entity must be otherwise qualified and eligible under this </w:t>
      </w:r>
      <w:r>
        <w:rPr>
          <w:rFonts w:ascii="Times New Roman" w:hAnsi="Times New Roman"/>
          <w:b/>
          <w:sz w:val="20"/>
        </w:rPr>
        <w:t>Article</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11.09 ELIGIBILITY; DISQUALIFICATION. </w:t>
      </w:r>
    </w:p>
    <w:p>
      <w:pPr>
        <w:pStyle w:val="TextBody"/>
        <w:bidi w:val="0"/>
        <w:spacing w:before="120" w:after="0"/>
        <w:jc w:val="left"/>
        <w:rPr>
          <w:rFonts w:ascii="Times New Roman" w:hAnsi="Times New Roman"/>
          <w:sz w:val="20"/>
        </w:rPr>
      </w:pPr>
      <w:r>
        <w:rPr>
          <w:rFonts w:ascii="Times New Roman" w:hAnsi="Times New Roman"/>
          <w:sz w:val="20"/>
        </w:rPr>
        <w:t xml:space="preserve">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one hundred million dollars ($100,000,000) as set forth in its most recent published annual report of condition.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12.01 NOTICES. </w:t>
      </w:r>
    </w:p>
    <w:p>
      <w:pPr>
        <w:pStyle w:val="TextBody"/>
        <w:bidi w:val="0"/>
        <w:spacing w:before="120" w:after="0"/>
        <w:jc w:val="left"/>
        <w:rPr>
          <w:rFonts w:ascii="Times New Roman" w:hAnsi="Times New Roman"/>
          <w:sz w:val="20"/>
        </w:rPr>
      </w:pPr>
      <w:r>
        <w:rPr>
          <w:rFonts w:ascii="Times New Roman" w:hAnsi="Times New Roman"/>
          <w:sz w:val="20"/>
        </w:rPr>
        <w:t xml:space="preserve">Any notice or communication by the Company or the Parent Guarantor or the Trustee to the other will be deemed to have been duly given if in writing and delivered in person or by first class mail (registered or certified, return receipt requested), Electronic Means or overnight air courier guaranteeing next day delivery, or to the other’s address, which initially is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or the Parent Guarantor: </w:t>
      </w:r>
    </w:p>
    <w:p>
      <w:pPr>
        <w:pStyle w:val="TextBody"/>
        <w:bidi w:val="0"/>
        <w:spacing w:before="120" w:after="0"/>
        <w:jc w:val="left"/>
        <w:rPr>
          <w:rFonts w:ascii="Times New Roman" w:hAnsi="Times New Roman"/>
          <w:sz w:val="20"/>
        </w:rPr>
      </w:pPr>
      <w:r>
        <w:rPr>
          <w:rFonts w:ascii="Times New Roman" w:hAnsi="Times New Roman"/>
          <w:sz w:val="20"/>
        </w:rPr>
        <w:t xml:space="preserve">The Macerich Partnership, L.P.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James Barri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Lunken Operations Center </w:t>
      </w:r>
    </w:p>
    <w:p>
      <w:pPr>
        <w:pStyle w:val="TextBody"/>
        <w:bidi w:val="0"/>
        <w:spacing w:before="0" w:after="0"/>
        <w:jc w:val="left"/>
        <w:rPr>
          <w:rFonts w:ascii="Times New Roman" w:hAnsi="Times New Roman"/>
          <w:sz w:val="20"/>
        </w:rPr>
      </w:pPr>
      <w:r>
        <w:rPr>
          <w:rFonts w:ascii="Times New Roman" w:hAnsi="Times New Roman"/>
          <w:sz w:val="20"/>
        </w:rPr>
        <w:t xml:space="preserve">5065 Wooster Road </w:t>
      </w:r>
    </w:p>
    <w:p>
      <w:pPr>
        <w:pStyle w:val="TextBody"/>
        <w:bidi w:val="0"/>
        <w:spacing w:before="0" w:after="0"/>
        <w:jc w:val="left"/>
        <w:rPr>
          <w:rFonts w:ascii="Times New Roman" w:hAnsi="Times New Roman"/>
          <w:sz w:val="20"/>
        </w:rPr>
      </w:pPr>
      <w:r>
        <w:rPr>
          <w:rFonts w:ascii="Times New Roman" w:hAnsi="Times New Roman"/>
          <w:sz w:val="20"/>
        </w:rPr>
        <w:t xml:space="preserve">Cincinnati, OH 45226 </w:t>
      </w:r>
    </w:p>
    <w:p>
      <w:pPr>
        <w:pStyle w:val="TextBody"/>
        <w:bidi w:val="0"/>
        <w:spacing w:before="0" w:after="0"/>
        <w:jc w:val="left"/>
        <w:rPr>
          <w:rFonts w:ascii="Times New Roman" w:hAnsi="Times New Roman"/>
          <w:sz w:val="20"/>
        </w:rPr>
      </w:pPr>
      <w:r>
        <w:rPr>
          <w:rFonts w:ascii="Times New Roman" w:hAnsi="Times New Roman"/>
          <w:sz w:val="20"/>
        </w:rPr>
        <w:t xml:space="preserve">E-mail: james.byrnes@usbank.com </w:t>
      </w:r>
    </w:p>
    <w:p>
      <w:pPr>
        <w:pStyle w:val="TextBody"/>
        <w:bidi w:val="0"/>
        <w:spacing w:before="0" w:after="0"/>
        <w:jc w:val="left"/>
        <w:rPr>
          <w:rFonts w:ascii="Times New Roman" w:hAnsi="Times New Roman"/>
          <w:sz w:val="20"/>
        </w:rPr>
      </w:pPr>
      <w:r>
        <w:rPr>
          <w:rFonts w:ascii="Times New Roman" w:hAnsi="Times New Roman"/>
          <w:sz w:val="20"/>
        </w:rPr>
        <w:t xml:space="preserve">Attention: J. Byrnes (The Macerich Partnership, L.P.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preceding paragraph, notices to the Trustee or any Note Agent must be in writing and will be deemed to have been given upon actual receipt by the Trustee or such Note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Parent Guarantor or the Trustee, by notice to the others, may designate additional or different addresses (including e-mail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Electronic Means; and (D)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sz w:val="20"/>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 notice or communication to a Holder of a Global Note may, but need not, instead be sent pursuant to the Depositary Procedures (in which case, such notice will be deemed to be duly sent or given in writing); and (B) a notice or communication to a Holder of a Global Note that is entitled to the benefits of a Registration Rights Agreement may, but need not, be sent in any manner permitted by such Registration Rights Agreement to the owner of the related beneficial interest in such Global Note if such owner is a Notice Holder under such Registration Rights Agreement. The failure to send a notice or communication to a Holder, or any defect in such notice or communication, will not affect its sufficiency with respect to any other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hAnsi="Times New Roman"/>
          <w:i/>
          <w:sz w:val="20"/>
        </w:rPr>
        <w:t>provided</w:t>
      </w:r>
      <w:r>
        <w:rPr>
          <w:rFonts w:ascii="Times New Roman" w:hAnsi="Times New Roman"/>
          <w:sz w:val="20"/>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mailed or sent in the manner provided above within the time prescribed, it will be deemed to have been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12.02 DELIVERY OF OFFICER’S CERTIFICATE AND OPINION OF COUNSEL AS TO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(other than the initial authentication of Notes under this Indenture), the Company will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and states that, in the opinion of the signatory thereto, all conditions precedent and covenants, if any, provided for in this Indenture relating to such action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(B) an Opinion of Counsel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and states that, in the opinion of such counsel, all such conditions precedent and covenants, if any,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12.03 STATEMENTS REQUIRED IN OFFICER’S CERTIFICATE AND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Each Officer’s Certificate (other than an Officer’s Certificate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or Opinion of Counsel with respect to compliance with a covenant or condition provided for in this Indenture will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signatory thereto has read such covenant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therein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such signatory, he, she or it has made such examination or investigation as is necessary to enable him, her or it to express an informed opinion as to whether or not such covenant or condition has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such signatory, such covenant or condition has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12.04 RULES BY THE TRUSTEE, THE REGISTRAR, THE PAYING AGENT AND THE EXCHANGE AGENT.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at a meeting of Holders. Each of the Registrar, the Paying Agent and the Exchange Agent may make reasonable rules and set reasonable requirements for its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12.05 NO PERSONAL LIABILITY OF DIRECTORS, OFFICERS, EMPLOYEES, PARTNERS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incorporator, partner or stockholder of the Company or the Parent Guarantor, as such, will have any liability for any obligations of the Company or the Parent Guarantor under this Indenture, the Notes or the Guarantee or for any claim based on, in respect of, or by reason of, such obligations or their creation. By accepting any note, each noteholder will be deemed to waive and release all such liability, and such waiver and release are part of the consideration for the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12.06 GOVERNING LAW,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THE NOTES AND THE GUARANTEE AND ANY CLAIM, CONTROVERSY OR DISPUTE ARISING UNDER OR RELATED TO THIS INDENTURE, THE NOTES OR THE GUARANTEE, WILL BE GOVERNED BY AND CONSTRUED IN ACCORDANCE WITH THE LAWS OF THE STATE OF NEW YORK. EACH OF THE COMPANY, THE TRUSTEE AND THE HOLDERS BY THEIR ACCEPTANCE OF THE NOTES IRREVOCABLY WAIVES, TO THE FULLEST EXTENT PERMITTED BY APPLICABLE LAW, ANY AND ALL RIGHT TO TRIAL BY JURY IN ANY LEGAL PROCEEDING ARISING OUT OF OR RELATING TO THIS INDENTURE, THE NOTES, THE GUARANTEE OR THE TRANSACTIONS CONTEMPLATED BY THIS INDENTURE, THE NOTES OR THE GUARANTEE.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12.07 SUBMISSION TO JURISDICTION. </w:t>
      </w:r>
    </w:p>
    <w:p>
      <w:pPr>
        <w:pStyle w:val="TextBody"/>
        <w:bidi w:val="0"/>
        <w:spacing w:before="12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by this Indenture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xml:space="preserve"> will be effective service of process for any such suit, action or proceeding brought in any such court. Each of the Company, the Parent Guarantor,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12.08 NO ADVERSE INTERPRETATION OF 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Neither this Indenture nor the Notes may be used to interpret any other indenture, note, loan or debt agreement of the Company or its Subsidiaries or of any other Person, and no such indenture, note, loan or debt agreement may be used to interpret this Indenture or the Notes. For the avoidance of doubt, this provision will not apply to interpretations relating to any Registration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12.09 SUCCESSORS.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the Company in this Indenture and the Notes will bind its successors. All agreements of the Trustee in this Indenture will bind its successors.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12.10 FORCE MAJEURE.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strikes, work stoppages, acts of war or terrorism, civil or military disturbances, pandemics or epidemics, nuclear or natural catastrophes or other similar events beyond its control that cause a sudden, significant and/or widespread disruption in its business activities; it being understood that the Trustee shall use reasonable efforts which are consistent with accepted practices in the banking industry to resume performance as soon as practicable under the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12.11 U.S.A. PATRIOT ACT.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12.12 CALCULATIONS.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Indenture, the Company will be responsible for making all calculations called for under this Indenture or the Notes, including determinations of the Last Reported Sale Price, the Daily Exchange Value, the Daily Settlement Amount, the Daily Net Settlement Amount, the Daily VWAP, the Trading Price, accrued interest (including Additional Interest or Special Interest) on the Notes, any Maturity Premium, the Redemption Price, the Fundamental Change Repurchase Price and the Exchange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make all calculations in good faith, and, absent manifest error, its calculations will be final and binding on all Holders. The Company will provide a schedule of its calculations to the Trustee and the Exchange Agent, and each of the Trustee and the Exchange Agent may rely conclusively on the accuracy of the Company’s calculations without independent verification. The Trustee will promptly forward a copy of each such schedule to a Holder upon its written request therefor. For the avoidance of doubt, neither the Trustee nor the Exchange Agent shall be responsible for performing any calculation under this Indenture, nor shall the Trustee or Exchange Agent be charged with knowledge or, or be responsible for, monitoring the price of the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12.13 SEVERABILITY.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or the Notes is invalid, illegal or unenforceable, then the validity, legality and enforceability of the remaining provisions of this Indenture or the Notes will not in any way be affected or impaired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12.14 COUNTERPARTS.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12.15 TABLE OF CONTENTS, HEADINGS, ETC.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and the headings of the Articles and Sections of this Indenture have been inserted for convenience of reference only, are not to be considered a part of this Indenture and will in no way modify or restrict any of the terms or provisions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12.16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Note agrees, and each beneficial owner of an interest in a Global Note, by its acquisition of such interest, is deemed to agree, that if the Company, the Parent Guarantor or other applicable withholding agent (including the Trustee) pays withholding taxes or backup withholding on behalf of such Holder or beneficial owner as a result of an adjustment or the non-occurrence of an adjustment to the Exchange Rate, then the Company, the Parent Guarantor or such withholding agent (including the Trustee), as applicable, may, at its option, withhold such amounts from or set off such amounts against payments of cash or the delivery of other Exchange Consideration on such Note, any payments on the Common Stock or sales proceeds received by, or other funds or assets of, such Holder or the beneficial owner of such Note.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to this Indenture have caused this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w:t>
            </w:r>
            <w:r>
              <w:rPr>
                <w:sz w:val="20"/>
              </w:rPr>
              <w:t>HE</w:t>
            </w:r>
            <w:r>
              <w:rPr/>
              <w:t xml:space="preserve"> M</w:t>
            </w:r>
            <w:r>
              <w:rPr>
                <w:sz w:val="20"/>
              </w:rPr>
              <w:t>ACERICH</w:t>
            </w:r>
            <w:r>
              <w:rPr/>
              <w:t xml:space="preserve"> P</w:t>
            </w:r>
            <w:r>
              <w:rPr>
                <w:sz w:val="20"/>
              </w:rPr>
              <w:t>ARTNERSHIP</w:t>
            </w:r>
            <w:r>
              <w:rPr/>
              <w:t>,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w:t>
            </w:r>
            <w:r>
              <w:rPr>
                <w:sz w:val="20"/>
              </w:rPr>
              <w:t>HE</w:t>
            </w:r>
            <w:r>
              <w:rPr/>
              <w:t xml:space="preserve"> M</w:t>
            </w:r>
            <w:r>
              <w:rPr>
                <w:sz w:val="20"/>
              </w:rPr>
              <w:t>ACERICH</w:t>
            </w:r>
            <w:r>
              <w:rPr/>
              <w:t xml:space="preserve"> C</w:t>
            </w:r>
            <w:r>
              <w:rPr>
                <w:sz w:val="20"/>
              </w:rPr>
              <w:t>OMPANY</w:t>
            </w:r>
            <w:r>
              <w:rPr/>
              <w:t>, its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Daniel E. Swanstrom II</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Daniel E. Swanstrom II</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Senior Executive Vice President,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w:t>
            </w:r>
            <w:r>
              <w:rPr>
                <w:sz w:val="20"/>
              </w:rPr>
              <w:t>HE</w:t>
            </w:r>
            <w:r>
              <w:rPr/>
              <w:t xml:space="preserve"> M</w:t>
            </w:r>
            <w:r>
              <w:rPr>
                <w:sz w:val="20"/>
              </w:rPr>
              <w:t>ACERICH</w:t>
            </w:r>
            <w:r>
              <w:rPr/>
              <w:t xml:space="preserve"> C</w:t>
            </w:r>
            <w:r>
              <w:rPr>
                <w:sz w:val="20"/>
              </w:rPr>
              <w:t>OMPANY</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Daniel E. Swanstrom II</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Daniel E. Swanstrom II</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Senior Executive Vice President,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Steven J. Gomes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Steven J. Gomes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bookmarkStart w:id="4" w:name="exa"/>
      <w:bookmarkEnd w:id="4"/>
      <w:r>
        <w:rPr>
          <w:rFonts w:ascii="Times New Roman" w:hAnsi="Times New Roman"/>
          <w:b/>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NOTE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Global Note Legend, if applicable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Restricted Note Legend, if applicable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Non-Affiliate Legend</w:t>
      </w:r>
      <w:r>
        <w:rPr>
          <w:rFonts w:ascii="Times New Roman" w:hAnsi="Times New Roman"/>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THE MACERICH PARTNERSHIP, L.P. </w:t>
      </w:r>
    </w:p>
    <w:p>
      <w:pPr>
        <w:pStyle w:val="TextBody"/>
        <w:bidi w:val="0"/>
        <w:spacing w:before="120" w:after="0"/>
        <w:jc w:val="center"/>
        <w:rPr>
          <w:rFonts w:ascii="Times New Roman" w:hAnsi="Times New Roman"/>
          <w:b/>
          <w:sz w:val="20"/>
        </w:rPr>
      </w:pPr>
      <w:r>
        <w:rPr>
          <w:rFonts w:ascii="Times New Roman" w:hAnsi="Times New Roman"/>
          <w:b/>
          <w:sz w:val="20"/>
        </w:rPr>
        <w:t xml:space="preserve">2.25% Exchangeable Senior Note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1"/>
        <w:gridCol w:w="120"/>
        <w:gridCol w:w="4924"/>
      </w:tblGrid>
      <w:tr>
        <w:trPr/>
        <w:tc>
          <w:tcPr>
            <w:tcW w:w="51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4" w:type="dxa"/>
            <w:tcBorders/>
            <w:vAlign w:val="center"/>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283"/>
              <w:jc w:val="left"/>
              <w:rPr/>
            </w:pPr>
            <w:r>
              <w:rPr/>
              <w:t>CUSIP No.: [___]</w:t>
            </w:r>
          </w:p>
        </w:tc>
        <w:tc>
          <w:tcPr>
            <w:tcW w:w="120" w:type="dxa"/>
            <w:tcBorders/>
            <w:vAlign w:val="bottom"/>
          </w:tcPr>
          <w:p>
            <w:pPr>
              <w:pStyle w:val="TableContents"/>
              <w:bidi w:val="0"/>
              <w:spacing w:before="0" w:after="283"/>
              <w:jc w:val="left"/>
              <w:rPr/>
            </w:pPr>
            <w:r>
              <w:rPr/>
              <w:t>  </w:t>
            </w:r>
          </w:p>
        </w:tc>
        <w:tc>
          <w:tcPr>
            <w:tcW w:w="4924" w:type="dxa"/>
            <w:tcBorders/>
          </w:tcPr>
          <w:p>
            <w:pPr>
              <w:pStyle w:val="TableContents"/>
              <w:bidi w:val="0"/>
              <w:spacing w:before="0" w:after="283"/>
              <w:jc w:val="right"/>
              <w:rPr/>
            </w:pPr>
            <w:r>
              <w:rPr/>
              <w:t>Certificate No. [___]</w:t>
            </w:r>
          </w:p>
        </w:tc>
      </w:tr>
      <w:tr>
        <w:trPr/>
        <w:tc>
          <w:tcPr>
            <w:tcW w:w="5161" w:type="dxa"/>
            <w:tcBorders/>
          </w:tcPr>
          <w:p>
            <w:pPr>
              <w:pStyle w:val="TableContents"/>
              <w:bidi w:val="0"/>
              <w:spacing w:before="0" w:after="283"/>
              <w:jc w:val="left"/>
              <w:rPr/>
            </w:pPr>
            <w:r>
              <w:rPr/>
              <w:t>ISIN No.: [___]</w:t>
            </w:r>
          </w:p>
        </w:tc>
        <w:tc>
          <w:tcPr>
            <w:tcW w:w="120" w:type="dxa"/>
            <w:tcBorders/>
            <w:vAlign w:val="bottom"/>
          </w:tcPr>
          <w:p>
            <w:pPr>
              <w:pStyle w:val="TableContents"/>
              <w:bidi w:val="0"/>
              <w:spacing w:before="0" w:after="283"/>
              <w:jc w:val="left"/>
              <w:rPr/>
            </w:pPr>
            <w:r>
              <w:rPr/>
              <w:t>  </w:t>
            </w:r>
          </w:p>
        </w:tc>
        <w:tc>
          <w:tcPr>
            <w:tcW w:w="492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Macerich Partnership, L.P., a Delaware limited partnership, for value received, promises to pay to [Cede &amp; Co.], or its registered assigns, the principal sum of [___] dollars ($[___]) [(as revised by the attached Schedule of Exchanges of Interests in the Global Note)]* on August 15, 2031 and to pay interest thereon, as provided in the Indenture referred to below, until the principal and all accrued and unpaid interest are paid or duly provided for. </w:t>
      </w:r>
    </w:p>
    <w:p>
      <w:pPr>
        <w:pStyle w:val="TextBody"/>
        <w:bidi w:val="0"/>
        <w:spacing w:before="240" w:after="0"/>
        <w:jc w:val="left"/>
        <w:rPr>
          <w:rFonts w:ascii="Times New Roman" w:hAnsi="Times New Roman"/>
          <w:sz w:val="20"/>
        </w:rPr>
      </w:pPr>
      <w:r>
        <w:rPr>
          <w:rFonts w:ascii="Times New Roman" w:hAnsi="Times New Roman"/>
          <w:sz w:val="20"/>
        </w:rPr>
        <w:t>Interest Payment Dates: February 15 and August 15 of each year, commencing on [</w:t>
      </w:r>
      <w:r>
        <w:rPr>
          <w:rFonts w:ascii="Times New Roman" w:hAnsi="Times New Roman"/>
          <w:i/>
          <w:sz w:val="20"/>
        </w:rPr>
        <w:t>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February 1 and August 1. </w:t>
      </w:r>
    </w:p>
    <w:p>
      <w:pPr>
        <w:pStyle w:val="TextBody"/>
        <w:bidi w:val="0"/>
        <w:spacing w:before="240" w:after="0"/>
        <w:jc w:val="left"/>
        <w:rPr>
          <w:rFonts w:ascii="Times New Roman" w:hAnsi="Times New Roman"/>
          <w:sz w:val="20"/>
        </w:rPr>
      </w:pPr>
      <w:r>
        <w:rPr>
          <w:rFonts w:ascii="Times New Roman" w:hAnsi="Times New Roman"/>
          <w:sz w:val="20"/>
        </w:rPr>
        <w:t xml:space="preserve">Additional provisions of this Note are set forth on the other side of this Note.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sz w:val="13"/>
              </w:rPr>
              <w:t>*</w:t>
            </w: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bracketed language 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Macerich Partnership, L.P. has caused this instrument to be duly executed as of the date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79"/>
        <w:gridCol w:w="111"/>
        <w:gridCol w:w="320"/>
        <w:gridCol w:w="111"/>
        <w:gridCol w:w="554"/>
        <w:gridCol w:w="140"/>
        <w:gridCol w:w="4090"/>
      </w:tblGrid>
      <w:tr>
        <w:trPr/>
        <w:tc>
          <w:tcPr>
            <w:tcW w:w="487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487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784" w:type="dxa"/>
            <w:gridSpan w:val="3"/>
            <w:tcBorders/>
          </w:tcPr>
          <w:p>
            <w:pPr>
              <w:pStyle w:val="TableContents"/>
              <w:bidi w:val="0"/>
              <w:spacing w:before="0" w:after="283"/>
              <w:jc w:val="left"/>
              <w:rPr/>
            </w:pPr>
            <w:r>
              <w:rPr/>
              <w:t>THE MACERICH PARTNERSHIP, L.P.</w:t>
            </w:r>
          </w:p>
        </w:tc>
      </w:tr>
      <w:tr>
        <w:trPr>
          <w:trHeight w:val="240" w:hRule="atLeast"/>
        </w:trPr>
        <w:tc>
          <w:tcPr>
            <w:tcW w:w="4879" w:type="dxa"/>
            <w:tcBorders/>
            <w:vAlign w:val="center"/>
          </w:tcPr>
          <w:p>
            <w:pPr>
              <w:pStyle w:val="TableContents"/>
              <w:bidi w:val="0"/>
              <w:spacing w:before="0" w:after="283"/>
              <w:jc w:val="left"/>
              <w:rPr>
                <w:sz w:val="4"/>
                <w:szCs w:val="4"/>
              </w:rPr>
            </w:pPr>
            <w:r>
              <w:rPr>
                <w:sz w:val="4"/>
                <w:szCs w:val="4"/>
              </w:rPr>
            </w:r>
          </w:p>
        </w:tc>
        <w:tc>
          <w:tcPr>
            <w:tcW w:w="431"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4230" w:type="dxa"/>
            <w:gridSpan w:val="2"/>
            <w:tcBorders/>
            <w:vAlign w:val="center"/>
          </w:tcPr>
          <w:p>
            <w:pPr>
              <w:pStyle w:val="TableContents"/>
              <w:bidi w:val="0"/>
              <w:spacing w:before="0" w:after="283"/>
              <w:jc w:val="left"/>
              <w:rPr>
                <w:sz w:val="4"/>
                <w:szCs w:val="4"/>
              </w:rPr>
            </w:pPr>
            <w:r>
              <w:rPr>
                <w:sz w:val="4"/>
                <w:szCs w:val="4"/>
              </w:rPr>
            </w:r>
          </w:p>
        </w:tc>
      </w:tr>
      <w:tr>
        <w:trPr/>
        <w:tc>
          <w:tcPr>
            <w:tcW w:w="4879" w:type="dxa"/>
            <w:tcBorders/>
          </w:tcPr>
          <w:p>
            <w:pPr>
              <w:pStyle w:val="TableContents"/>
              <w:bidi w:val="0"/>
              <w:spacing w:before="0" w:after="283"/>
              <w:jc w:val="left"/>
              <w:rPr/>
            </w:pPr>
            <w:r>
              <w:rPr/>
              <w:t xml:space="preserve">Date: </w:t>
            </w:r>
            <w:r>
              <w:rPr>
                <w:u w:val="single"/>
              </w:rPr>
              <w:t>          </w:t>
            </w:r>
          </w:p>
        </w:tc>
        <w:tc>
          <w:tcPr>
            <w:tcW w:w="111"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left"/>
              <w:rPr/>
            </w:pPr>
            <w:r>
              <w:rPr/>
              <w:t>By:</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4090" w:type="dxa"/>
            <w:tcBorders>
              <w:bottom w:val="single" w:sz="2" w:space="0" w:color="000000"/>
            </w:tcBorders>
            <w:tcMar>
              <w:bottom w:w="28" w:type="dxa"/>
            </w:tcMar>
          </w:tcPr>
          <w:p>
            <w:pPr>
              <w:pStyle w:val="TableContents"/>
              <w:bidi w:val="0"/>
              <w:spacing w:before="0" w:after="283"/>
              <w:jc w:val="left"/>
              <w:rPr/>
            </w:pPr>
            <w:r>
              <w:rPr/>
              <w:t> </w:t>
            </w:r>
          </w:p>
        </w:tc>
      </w:tr>
      <w:tr>
        <w:trPr/>
        <w:tc>
          <w:tcPr>
            <w:tcW w:w="487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4090" w:type="dxa"/>
            <w:tcBorders/>
            <w:vAlign w:val="bottom"/>
          </w:tcPr>
          <w:p>
            <w:pPr>
              <w:pStyle w:val="TableContents"/>
              <w:bidi w:val="0"/>
              <w:spacing w:before="0" w:after="283"/>
              <w:jc w:val="left"/>
              <w:rPr/>
            </w:pPr>
            <w:r>
              <w:rPr/>
              <w:t>Name:</w:t>
            </w:r>
          </w:p>
        </w:tc>
      </w:tr>
      <w:tr>
        <w:trPr/>
        <w:tc>
          <w:tcPr>
            <w:tcW w:w="487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54"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4090"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certifies that this is one of the Notes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9"/>
        <w:gridCol w:w="102"/>
        <w:gridCol w:w="405"/>
        <w:gridCol w:w="102"/>
        <w:gridCol w:w="309"/>
        <w:gridCol w:w="102"/>
        <w:gridCol w:w="4576"/>
      </w:tblGrid>
      <w:tr>
        <w:trPr/>
        <w:tc>
          <w:tcPr>
            <w:tcW w:w="46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r>
      <w:tr>
        <w:trPr/>
        <w:tc>
          <w:tcPr>
            <w:tcW w:w="4609" w:type="dxa"/>
            <w:tcBorders/>
          </w:tcPr>
          <w:p>
            <w:pPr>
              <w:pStyle w:val="TableContents"/>
              <w:bidi w:val="0"/>
              <w:spacing w:before="0" w:after="283"/>
              <w:jc w:val="left"/>
              <w:rPr/>
            </w:pPr>
            <w:r>
              <w:rPr/>
              <w:t xml:space="preserve">Date: </w:t>
            </w:r>
            <w:r>
              <w:rPr>
                <w:u w:val="single"/>
              </w:rPr>
              <w:t>          </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576" w:type="dxa"/>
            <w:tcBorders>
              <w:bottom w:val="single" w:sz="2" w:space="0" w:color="000000"/>
            </w:tcBorders>
            <w:tcMar>
              <w:bottom w:w="28" w:type="dxa"/>
            </w:tcMar>
          </w:tcPr>
          <w:p>
            <w:pPr>
              <w:pStyle w:val="TableContents"/>
              <w:bidi w:val="0"/>
              <w:spacing w:before="0" w:after="283"/>
              <w:jc w:val="left"/>
              <w:rPr/>
            </w:pPr>
            <w:r>
              <w:rPr/>
              <w:t> </w:t>
            </w:r>
          </w:p>
        </w:tc>
      </w:tr>
      <w:tr>
        <w:trPr/>
        <w:tc>
          <w:tcPr>
            <w:tcW w:w="46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76" w:type="dxa"/>
            <w:tcBorders/>
            <w:vAlign w:val="bottom"/>
          </w:tcPr>
          <w:p>
            <w:pPr>
              <w:pStyle w:val="TableContents"/>
              <w:bidi w:val="0"/>
              <w:spacing w:before="0" w:after="283"/>
              <w:jc w:val="left"/>
              <w:rPr/>
            </w:pPr>
            <w:r>
              <w:rPr/>
              <w:t>Name:</w:t>
            </w:r>
          </w:p>
        </w:tc>
      </w:tr>
      <w:tr>
        <w:trPr/>
        <w:tc>
          <w:tcPr>
            <w:tcW w:w="46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76"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MACERICH PARTNERSHIP, L.P. </w:t>
      </w:r>
    </w:p>
    <w:p>
      <w:pPr>
        <w:pStyle w:val="TextBody"/>
        <w:bidi w:val="0"/>
        <w:spacing w:before="120" w:after="0"/>
        <w:jc w:val="center"/>
        <w:rPr>
          <w:rFonts w:ascii="Times New Roman" w:hAnsi="Times New Roman"/>
          <w:b/>
          <w:sz w:val="20"/>
        </w:rPr>
      </w:pPr>
      <w:r>
        <w:rPr>
          <w:rFonts w:ascii="Times New Roman" w:hAnsi="Times New Roman"/>
          <w:b/>
          <w:sz w:val="20"/>
        </w:rPr>
        <w:t xml:space="preserve">2.25% Exchangeable Senior Note due 2031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The Macerich Partnership, L.P., a Delaware limited partnership (the “</w:t>
      </w:r>
      <w:r>
        <w:rPr>
          <w:rFonts w:ascii="Times New Roman" w:hAnsi="Times New Roman"/>
          <w:b/>
          <w:sz w:val="20"/>
        </w:rPr>
        <w:t>Company</w:t>
      </w:r>
      <w:r>
        <w:rPr>
          <w:rFonts w:ascii="Times New Roman" w:hAnsi="Times New Roman"/>
          <w:sz w:val="20"/>
        </w:rPr>
        <w:t>”), designated as its 2.25% Exchangeable Senior Notes due 2031 (the “</w:t>
      </w:r>
      <w:r>
        <w:rPr>
          <w:rFonts w:ascii="Times New Roman" w:hAnsi="Times New Roman"/>
          <w:b/>
          <w:sz w:val="20"/>
        </w:rPr>
        <w:t>Notes</w:t>
      </w:r>
      <w:r>
        <w:rPr>
          <w:rFonts w:ascii="Times New Roman" w:hAnsi="Times New Roman"/>
          <w:sz w:val="20"/>
        </w:rPr>
        <w:t>”), all issued or to be issued pursuant to an indenture, dated as of August 11, 2026 (as the same may be amended from time to time, the “</w:t>
      </w:r>
      <w:r>
        <w:rPr>
          <w:rFonts w:ascii="Times New Roman" w:hAnsi="Times New Roman"/>
          <w:b/>
          <w:sz w:val="20"/>
        </w:rPr>
        <w:t>Indenture</w:t>
      </w:r>
      <w:r>
        <w:rPr>
          <w:rFonts w:ascii="Times New Roman" w:hAnsi="Times New Roman"/>
          <w:sz w:val="20"/>
        </w:rPr>
        <w:t xml:space="preserve">”), among the Company, The Macerich Company., a Maryland corporation and U.S. Bank Trust Company, National Association, as trustee. Capitalized terms used in this Note without definition have the respective meanings ascribed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sets forth the rights and obligations of the Company, the Parent Guarantor, the Trustee and the Holders and the terms of the Notes. Notwithstanding anything to the contrary in this Note, to the extent that any provision of this Note conflicts with the provisions of the Indenture, the provisions of the Indenture will control.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Interest</w:t>
      </w:r>
      <w:r>
        <w:rPr>
          <w:rFonts w:ascii="Times New Roman" w:hAnsi="Times New Roman"/>
          <w:sz w:val="20"/>
        </w:rPr>
        <w:t>. This Note will accrue interest at a rate and in the manner set forth in Section 2.05 of the Indenture. Stated Interest on this Note will begin to accrue from, and including, [</w:t>
      </w:r>
      <w:r>
        <w:rPr>
          <w:rFonts w:ascii="Times New Roman" w:hAnsi="Times New Roman"/>
          <w:i/>
          <w:sz w:val="20"/>
        </w:rPr>
        <w:t>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Maturity</w:t>
      </w:r>
      <w:r>
        <w:rPr>
          <w:rFonts w:ascii="Times New Roman" w:hAnsi="Times New Roman"/>
          <w:sz w:val="20"/>
        </w:rPr>
        <w:t xml:space="preserve">. This Note will mature on August 15, 2031, unless earlier repurchased, redeemed or Exchanged.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Guarantee</w:t>
      </w:r>
      <w:r>
        <w:rPr>
          <w:rFonts w:ascii="Times New Roman" w:hAnsi="Times New Roman"/>
          <w:sz w:val="20"/>
        </w:rPr>
        <w:t xml:space="preserve">. The Company’s obligations under the Indenture and the Notes are fully and unconditionally guaranteed by the Parent Guarantor as provided in Article 9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Method of Payment</w:t>
      </w:r>
      <w:r>
        <w:rPr>
          <w:rFonts w:ascii="Times New Roman" w:hAnsi="Times New Roman"/>
          <w:sz w:val="20"/>
        </w:rPr>
        <w:t xml:space="preserve">. Cash amounts due on this Note will be paid in the manner set forth in Section 2.04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Persons Deemed Owners</w:t>
      </w:r>
      <w:r>
        <w:rPr>
          <w:rFonts w:ascii="Times New Roman" w:hAnsi="Times New Roman"/>
          <w:sz w:val="20"/>
        </w:rPr>
        <w:t xml:space="preserve">. The Holder of this Note will be treated as the owner of this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Denominations; Transfers and Exchanges</w:t>
      </w:r>
      <w:r>
        <w:rPr>
          <w:rFonts w:ascii="Times New Roman" w:hAnsi="Times New Roman"/>
          <w:sz w:val="20"/>
        </w:rPr>
        <w:t xml:space="preserve">.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Right of Holders to Require the Company to Repurchase Notes Upon a Fundamental Change</w:t>
      </w:r>
      <w:r>
        <w:rPr>
          <w:rFonts w:ascii="Times New Roman" w:hAnsi="Times New Roman"/>
          <w:sz w:val="20"/>
        </w:rPr>
        <w:t xml:space="preserve">.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Right of the Company to Redeem the Notes</w:t>
      </w:r>
      <w:r>
        <w:rPr>
          <w:rFonts w:ascii="Times New Roman" w:hAnsi="Times New Roman"/>
          <w:sz w:val="20"/>
        </w:rPr>
        <w:t xml:space="preserve">. The Company will have the right to redeem the Notes for cash in the manner, and subject to the terms,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Exchange</w:t>
      </w:r>
      <w:r>
        <w:rPr>
          <w:rFonts w:ascii="Times New Roman" w:hAnsi="Times New Roman"/>
          <w:sz w:val="20"/>
        </w:rPr>
        <w:t xml:space="preserve">. The Holder of this Note may Exchange this Note into Exchange Consideration in the manner, and subject to the terms, set forth in </w:t>
      </w:r>
      <w:r>
        <w:rPr>
          <w:rFonts w:ascii="Times New Roman" w:hAnsi="Times New Roman"/>
          <w:b/>
          <w:sz w:val="20"/>
        </w:rPr>
        <w:t>Article 5</w:t>
      </w:r>
      <w:r>
        <w:rPr>
          <w:rFonts w:ascii="Times New Roman" w:hAnsi="Times New Roman"/>
          <w:sz w:val="20"/>
        </w:rPr>
        <w:t xml:space="preserv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When the Company May Merge, Etc</w:t>
      </w:r>
      <w:r>
        <w:rPr>
          <w:rFonts w:ascii="Times New Roman" w:hAnsi="Times New Roman"/>
          <w:sz w:val="20"/>
        </w:rPr>
        <w:t xml:space="preserve">. Article 6 of the Indenture places limited restrictions on the Company’s ability to be a party to a Company Business Combination Event.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Defaults and Remedies</w:t>
      </w:r>
      <w:r>
        <w:rPr>
          <w:rFonts w:ascii="Times New Roman" w:hAnsi="Times New Roman"/>
          <w:sz w:val="20"/>
        </w:rPr>
        <w:t xml:space="preserve">. If an Event of Default occurs, then the principal amount of, and all accrued and unpaid interest on, and the Maturity Premium, if any, in respect of, all of the Notes then outstanding may (and, in certain circumstances, will automatically) become due and payable in the manner, and subject to the terms, set forth in Article 7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Amendments, Supplements and Waivers</w:t>
      </w:r>
      <w:r>
        <w:rPr>
          <w:rFonts w:ascii="Times New Roman" w:hAnsi="Times New Roman"/>
          <w:sz w:val="20"/>
        </w:rPr>
        <w:t xml:space="preserve">. The Company, the Parent Guarantor and the Trustee may amend or supplement the Indenture, the Notes or the Guarantee or waive compliance with any provision of the Indenture, the Notes or the Guarantee in the manner, and subject to the terms, set forth in Section 7.05 and Article 8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13. [</w:t>
      </w:r>
      <w:r>
        <w:rPr>
          <w:rFonts w:ascii="Times New Roman" w:hAnsi="Times New Roman"/>
          <w:b/>
          <w:sz w:val="20"/>
        </w:rPr>
        <w:t>Registration Rights Agreement</w:t>
      </w:r>
      <w:r>
        <w:rPr>
          <w:rFonts w:ascii="Times New Roman" w:hAnsi="Times New Roman"/>
          <w:sz w:val="20"/>
        </w:rPr>
        <w:t>. In addition to the rights provided to Holders of Notes under the Indenture, Holders shall have all the rights set forth in the Registration Rights Agreement dated as of [</w:t>
      </w:r>
      <w:r>
        <w:rPr>
          <w:rFonts w:ascii="Times New Roman" w:hAnsi="Times New Roman"/>
          <w:i/>
          <w:sz w:val="20"/>
        </w:rPr>
        <w:t>date</w:t>
      </w:r>
      <w:r>
        <w:rPr>
          <w:rFonts w:ascii="Times New Roman" w:hAnsi="Times New Roman"/>
          <w:sz w:val="20"/>
        </w:rPr>
        <w:t xml:space="preserve">], among the Company, the Parent Guarantor and the Initial Purchasers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No Personal Liability of Directors, Officers, Employees, Partners and Stockholders</w:t>
      </w:r>
      <w:r>
        <w:rPr>
          <w:rFonts w:ascii="Times New Roman" w:hAnsi="Times New Roman"/>
          <w:sz w:val="20"/>
        </w:rPr>
        <w:t xml:space="preserve">. No past, present or future director, officer, employee, incorporator, partner or stockholder of the Company or the Parent Guarantor, as such, will have any liability for any obligations of the Company or the Parent Guarantor under this Note, the Indenture or the Guarantee or for any claim based on, in respect of, or by reason of, such obligations or their creation. By accepting any note, each noteholder will be deemed to waive and release all such liability, and such waiver and release are part of the consideration for the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Authentication</w:t>
      </w:r>
      <w:r>
        <w:rPr>
          <w:rFonts w:ascii="Times New Roman" w:hAnsi="Times New Roman"/>
          <w:sz w:val="20"/>
        </w:rPr>
        <w:t xml:space="preserve">. No Note will be valid until it is authenticated by the Trustee. A Note will be deemed to be duly authenticated only when an authorized signatory of the Trustee (or a duly appointed authenticating agent) signs the certificate of authentication of such Note.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Abbreviations</w:t>
      </w:r>
      <w:r>
        <w:rPr>
          <w:rFonts w:ascii="Times New Roman" w:hAnsi="Times New Roman"/>
          <w:sz w:val="20"/>
        </w:rPr>
        <w:t xml:space="preserve">. Customary abbreviations may be used in the name of a Holder or its assignee, such as TEN COM (tenants in common), TEN ENT (tenants by the entireties), JT TEN (joint tenants with right of survivorship and not as tenants in common), CUST (custodian), and U/G/M/A (Uniform Gift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Governing Law</w:t>
      </w:r>
      <w:r>
        <w:rPr>
          <w:rFonts w:ascii="Times New Roman" w:hAnsi="Times New Roman"/>
          <w:sz w:val="20"/>
        </w:rPr>
        <w:t xml:space="preserve">. THIS NOTE, AND ANY CLAIM, CONTROVERSY OR DISPUTE ARISING UNDER OR RELATED TO THIS NOTE, WILL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To request a copy of the Indenture, which the Company will provide to any Holder at no charge, please send a written request to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The Macerich Partnership, L.P.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California 90401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sz w:val="13"/>
              </w:rPr>
              <w:t>*</w:t>
            </w: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for any Notes subject to a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EXCHANGES OF INTERESTS IN THE GLOBAL NOTE* </w:t>
      </w:r>
    </w:p>
    <w:p>
      <w:pPr>
        <w:pStyle w:val="TextBody"/>
        <w:bidi w:val="0"/>
        <w:spacing w:before="120" w:after="0"/>
        <w:jc w:val="center"/>
        <w:rPr>
          <w:rFonts w:ascii="Times New Roman" w:hAnsi="Times New Roman"/>
          <w:sz w:val="20"/>
        </w:rPr>
      </w:pPr>
      <w:r>
        <w:rPr>
          <w:rFonts w:ascii="Times New Roman" w:hAnsi="Times New Roman"/>
          <w:sz w:val="20"/>
        </w:rPr>
        <w:t xml:space="preserve">INITIAL PRINCIPAL AMOUNT OF THIS GLOBAL NOTE: $[___]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transfers or cancellations of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7"/>
        <w:gridCol w:w="121"/>
        <w:gridCol w:w="2936"/>
        <w:gridCol w:w="121"/>
        <w:gridCol w:w="2923"/>
        <w:gridCol w:w="121"/>
        <w:gridCol w:w="2666"/>
      </w:tblGrid>
      <w:tr>
        <w:trPr/>
        <w:tc>
          <w:tcPr>
            <w:tcW w:w="13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r>
      <w:tr>
        <w:trPr/>
        <w:tc>
          <w:tcPr>
            <w:tcW w:w="13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21" w:type="dxa"/>
            <w:tcBorders/>
            <w:vAlign w:val="bottom"/>
          </w:tcPr>
          <w:p>
            <w:pPr>
              <w:pStyle w:val="TableContents"/>
              <w:bidi w:val="0"/>
              <w:spacing w:before="0" w:after="283"/>
              <w:jc w:val="left"/>
              <w:rPr/>
            </w:pPr>
            <w:r>
              <w:rPr/>
              <w:t>  </w:t>
            </w:r>
          </w:p>
        </w:tc>
        <w:tc>
          <w:tcPr>
            <w:tcW w:w="293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w:t>
            </w:r>
          </w:p>
          <w:p>
            <w:pPr>
              <w:pStyle w:val="TableContents"/>
              <w:bidi w:val="0"/>
              <w:spacing w:before="0" w:after="0"/>
              <w:jc w:val="center"/>
              <w:rPr>
                <w:rFonts w:ascii="Times New Roman" w:hAnsi="Times New Roman"/>
                <w:b/>
                <w:sz w:val="16"/>
              </w:rPr>
            </w:pPr>
            <w:r>
              <w:rPr>
                <w:rFonts w:ascii="Times New Roman" w:hAnsi="Times New Roman"/>
                <w:b/>
                <w:sz w:val="16"/>
              </w:rPr>
              <w:t>(Decrease)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Note</w:t>
            </w:r>
          </w:p>
        </w:tc>
        <w:tc>
          <w:tcPr>
            <w:tcW w:w="121" w:type="dxa"/>
            <w:tcBorders/>
            <w:vAlign w:val="bottom"/>
          </w:tcPr>
          <w:p>
            <w:pPr>
              <w:pStyle w:val="TableContents"/>
              <w:bidi w:val="0"/>
              <w:spacing w:before="0" w:after="283"/>
              <w:jc w:val="left"/>
              <w:rPr/>
            </w:pPr>
            <w:r>
              <w:rPr/>
              <w:t>  </w:t>
            </w:r>
          </w:p>
        </w:tc>
        <w:tc>
          <w:tcPr>
            <w:tcW w:w="292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Note</w:t>
            </w:r>
          </w:p>
          <w:p>
            <w:pPr>
              <w:pStyle w:val="TableContents"/>
              <w:bidi w:val="0"/>
              <w:spacing w:before="0" w:after="0"/>
              <w:jc w:val="center"/>
              <w:rPr>
                <w:rFonts w:ascii="Times New Roman" w:hAnsi="Times New Roman"/>
                <w:b/>
                <w:sz w:val="16"/>
              </w:rPr>
            </w:pPr>
            <w:r>
              <w:rPr>
                <w:rFonts w:ascii="Times New Roman" w:hAnsi="Times New Roman"/>
                <w:b/>
                <w:sz w:val="16"/>
              </w:rPr>
              <w:t>After Such Increase</w:t>
            </w:r>
          </w:p>
          <w:p>
            <w:pPr>
              <w:pStyle w:val="TableContents"/>
              <w:bidi w:val="0"/>
              <w:spacing w:before="0" w:after="20"/>
              <w:jc w:val="center"/>
              <w:rPr>
                <w:rFonts w:ascii="Times New Roman" w:hAnsi="Times New Roman"/>
                <w:b/>
                <w:sz w:val="16"/>
              </w:rPr>
            </w:pPr>
            <w:r>
              <w:rPr>
                <w:rFonts w:ascii="Times New Roman" w:hAnsi="Times New Roman"/>
                <w:b/>
                <w:sz w:val="16"/>
              </w:rPr>
              <w:t>(Decrease)</w:t>
            </w:r>
          </w:p>
        </w:tc>
        <w:tc>
          <w:tcPr>
            <w:tcW w:w="121" w:type="dxa"/>
            <w:tcBorders/>
            <w:vAlign w:val="bottom"/>
          </w:tcPr>
          <w:p>
            <w:pPr>
              <w:pStyle w:val="TableContents"/>
              <w:bidi w:val="0"/>
              <w:spacing w:before="0" w:after="283"/>
              <w:jc w:val="left"/>
              <w:rPr/>
            </w:pPr>
            <w:r>
              <w:rPr/>
              <w:t>  </w:t>
            </w:r>
          </w:p>
        </w:tc>
        <w:tc>
          <w:tcPr>
            <w:tcW w:w="26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w:t>
            </w:r>
          </w:p>
          <w:p>
            <w:pPr>
              <w:pStyle w:val="TableContents"/>
              <w:bidi w:val="0"/>
              <w:spacing w:before="0" w:after="20"/>
              <w:jc w:val="center"/>
              <w:rPr>
                <w:rFonts w:ascii="Times New Roman" w:hAnsi="Times New Roman"/>
                <w:b/>
                <w:sz w:val="16"/>
              </w:rPr>
            </w:pPr>
            <w:r>
              <w:rPr>
                <w:rFonts w:ascii="Times New Roman" w:hAnsi="Times New Roman"/>
                <w:b/>
                <w:sz w:val="16"/>
              </w:rPr>
              <w:t>Signatory of Trustee</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r>
        <w:trPr/>
        <w:tc>
          <w:tcPr>
            <w:tcW w:w="13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3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923"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666"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sz w:val="13"/>
              </w:rPr>
              <w:t>*</w:t>
            </w: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EXCHANGE NOTICE </w:t>
      </w:r>
    </w:p>
    <w:p>
      <w:pPr>
        <w:pStyle w:val="TextBody"/>
        <w:bidi w:val="0"/>
        <w:spacing w:before="120" w:after="0"/>
        <w:jc w:val="center"/>
        <w:rPr>
          <w:rFonts w:ascii="Times New Roman" w:hAnsi="Times New Roman"/>
          <w:sz w:val="20"/>
        </w:rPr>
      </w:pPr>
      <w:r>
        <w:rPr>
          <w:rFonts w:ascii="Times New Roman" w:hAnsi="Times New Roman"/>
          <w:sz w:val="20"/>
        </w:rPr>
        <w:t xml:space="preserve">THE MACERICH PARTNERSHIP, L.P. </w:t>
      </w:r>
    </w:p>
    <w:p>
      <w:pPr>
        <w:pStyle w:val="TextBody"/>
        <w:bidi w:val="0"/>
        <w:spacing w:before="120" w:after="0"/>
        <w:jc w:val="center"/>
        <w:rPr>
          <w:rFonts w:ascii="Times New Roman" w:hAnsi="Times New Roman"/>
          <w:sz w:val="20"/>
        </w:rPr>
      </w:pPr>
      <w:r>
        <w:rPr>
          <w:rFonts w:ascii="Times New Roman" w:hAnsi="Times New Roman"/>
          <w:sz w:val="20"/>
        </w:rPr>
        <w:t xml:space="preserve">2.25% Exchangeable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by executing and delivering this Exchange Notice, the undersigned Holder of the Note identified below directs the Company to Exchange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$________*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 _________ and Certificate No. 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if the Exchange Date of a Note to be Exchanged is after a Regular Record Date and before the next Interest Payment Date, then such Note, when surrendered for Exchange, must, in certain circumstances, be accompanied with an amount of cash equal to the interest that would have accrued on such Note to, but excluding, such Interest Payment Date. The undersigned Holder represents to the Company that, as of the Exchange Date relating to this Exchange Notice, the undersigned Holder is either a “qualified institutional buyer” (as defined in Rule 144A) or an “accredited investor” (as defined in Rule 501).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0"/>
        <w:gridCol w:w="101"/>
        <w:gridCol w:w="406"/>
        <w:gridCol w:w="101"/>
        <w:gridCol w:w="307"/>
        <w:gridCol w:w="101"/>
        <w:gridCol w:w="4589"/>
      </w:tblGrid>
      <w:tr>
        <w:trPr/>
        <w:tc>
          <w:tcPr>
            <w:tcW w:w="460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89"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pPr>
            <w:r>
              <w:rPr/>
              <w:t xml:space="preserve">Date: </w:t>
            </w:r>
            <w:r>
              <w:rPr>
                <w:u w:val="single"/>
              </w:rPr>
              <w:t>          </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vAlign w:val="bottom"/>
          </w:tcPr>
          <w:p>
            <w:pPr>
              <w:pStyle w:val="TableContents"/>
              <w:pBdr>
                <w:bottom w:val="single" w:sz="2" w:space="1" w:color="000000"/>
              </w:pBdr>
              <w:bidi w:val="0"/>
              <w:spacing w:before="0" w:after="20"/>
              <w:jc w:val="right"/>
              <w:rPr/>
            </w:pPr>
            <w:r>
              <w:rPr/>
              <w:t> </w:t>
            </w:r>
          </w:p>
        </w:tc>
      </w:tr>
      <w:tr>
        <w:trPr/>
        <w:tc>
          <w:tcPr>
            <w:tcW w:w="460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vAlign w:val="bottom"/>
          </w:tcPr>
          <w:p>
            <w:pPr>
              <w:pStyle w:val="TableContents"/>
              <w:bidi w:val="0"/>
              <w:spacing w:before="0" w:after="283"/>
              <w:jc w:val="center"/>
              <w:rPr/>
            </w:pPr>
            <w:r>
              <w:rPr/>
              <w:t>(Legal Name of Holder)</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89" w:type="dxa"/>
            <w:tcBorders>
              <w:bottom w:val="single" w:sz="2" w:space="0" w:color="000000"/>
            </w:tcBorders>
            <w:tcMar>
              <w:bottom w:w="28" w:type="dxa"/>
            </w:tcMar>
          </w:tcPr>
          <w:p>
            <w:pPr>
              <w:pStyle w:val="TableContents"/>
              <w:bidi w:val="0"/>
              <w:spacing w:before="0" w:after="283"/>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left"/>
              <w:rPr/>
            </w:pPr>
            <w:r>
              <w:rPr/>
              <w:t>Name:</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left"/>
              <w:rPr/>
            </w:pPr>
            <w:r>
              <w:rPr/>
              <w:t>Title:</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098" w:type="dxa"/>
            <w:gridSpan w:val="4"/>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left"/>
              <w:rPr/>
            </w:pPr>
            <w:r>
              <w:rPr/>
              <w:t>Signature Guaranteed:</w:t>
            </w:r>
          </w:p>
        </w:tc>
      </w:tr>
      <w:tr>
        <w:trPr>
          <w:trHeight w:val="12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098" w:type="dxa"/>
            <w:gridSpan w:val="4"/>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pBdr>
                <w:bottom w:val="single" w:sz="2" w:space="1" w:color="000000"/>
              </w:pBdr>
              <w:bidi w:val="0"/>
              <w:spacing w:before="0" w:after="20"/>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center"/>
              <w:rPr/>
            </w:pPr>
            <w:r>
              <w:rPr/>
              <w:t>Participant in a Recognized Signature</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center"/>
              <w:rPr/>
            </w:pPr>
            <w:r>
              <w:rPr/>
              <w:t>Guarantee Medallion Program</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89" w:type="dxa"/>
            <w:tcBorders>
              <w:bottom w:val="single" w:sz="2" w:space="0" w:color="000000"/>
            </w:tcBorders>
            <w:tcMar>
              <w:bottom w:w="28" w:type="dxa"/>
            </w:tcMar>
          </w:tcPr>
          <w:p>
            <w:pPr>
              <w:pStyle w:val="TableContents"/>
              <w:bidi w:val="0"/>
              <w:spacing w:before="0" w:after="283"/>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center"/>
              <w:rPr/>
            </w:pPr>
            <w:r>
              <w:rPr/>
              <w:t>Authorized Signatory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FUNDAMENTAL CHANGE REPURCHASE NOTICE </w:t>
      </w:r>
    </w:p>
    <w:p>
      <w:pPr>
        <w:pStyle w:val="TextBody"/>
        <w:bidi w:val="0"/>
        <w:spacing w:before="120" w:after="0"/>
        <w:jc w:val="center"/>
        <w:rPr>
          <w:rFonts w:ascii="Times New Roman" w:hAnsi="Times New Roman"/>
          <w:sz w:val="20"/>
        </w:rPr>
      </w:pPr>
      <w:r>
        <w:rPr>
          <w:rFonts w:ascii="Times New Roman" w:hAnsi="Times New Roman"/>
          <w:sz w:val="20"/>
        </w:rPr>
        <w:t xml:space="preserve">THE MACERICH PARTNERSHIP, L.P. </w:t>
      </w:r>
    </w:p>
    <w:p>
      <w:pPr>
        <w:pStyle w:val="TextBody"/>
        <w:bidi w:val="0"/>
        <w:spacing w:before="120" w:after="0"/>
        <w:jc w:val="center"/>
        <w:rPr>
          <w:rFonts w:ascii="Times New Roman" w:hAnsi="Times New Roman"/>
          <w:sz w:val="20"/>
        </w:rPr>
      </w:pPr>
      <w:r>
        <w:rPr>
          <w:rFonts w:ascii="Times New Roman" w:hAnsi="Times New Roman"/>
          <w:sz w:val="20"/>
        </w:rPr>
        <w:t xml:space="preserve">2.25% Exchangeable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by executing and delivering this Fundamental Change Repurchase Notice, the undersigned Holder of the Note identified below is exercising its Fundamental Change Repurchase Right with respect to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$________*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 _________ and Certificate No. 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this Note, duly endorsed for transfer, must be delivered to the Paying Agent before the Fundamental Change Repurchase Price will be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0"/>
        <w:gridCol w:w="101"/>
        <w:gridCol w:w="406"/>
        <w:gridCol w:w="101"/>
        <w:gridCol w:w="307"/>
        <w:gridCol w:w="101"/>
        <w:gridCol w:w="4589"/>
      </w:tblGrid>
      <w:tr>
        <w:trPr/>
        <w:tc>
          <w:tcPr>
            <w:tcW w:w="460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89"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pPr>
            <w:r>
              <w:rPr/>
              <w:t xml:space="preserve">Date: </w:t>
            </w:r>
            <w:r>
              <w:rPr>
                <w:u w:val="single"/>
              </w:rPr>
              <w:t>          </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vAlign w:val="bottom"/>
          </w:tcPr>
          <w:p>
            <w:pPr>
              <w:pStyle w:val="TableContents"/>
              <w:pBdr>
                <w:bottom w:val="single" w:sz="2" w:space="1" w:color="000000"/>
              </w:pBdr>
              <w:bidi w:val="0"/>
              <w:spacing w:before="0" w:after="20"/>
              <w:jc w:val="right"/>
              <w:rPr/>
            </w:pPr>
            <w:r>
              <w:rPr/>
              <w:t> </w:t>
            </w:r>
          </w:p>
        </w:tc>
      </w:tr>
      <w:tr>
        <w:trPr/>
        <w:tc>
          <w:tcPr>
            <w:tcW w:w="460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vAlign w:val="bottom"/>
          </w:tcPr>
          <w:p>
            <w:pPr>
              <w:pStyle w:val="TableContents"/>
              <w:bidi w:val="0"/>
              <w:spacing w:before="0" w:after="283"/>
              <w:jc w:val="center"/>
              <w:rPr/>
            </w:pPr>
            <w:r>
              <w:rPr/>
              <w:t>(Legal Name of Holder)</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89" w:type="dxa"/>
            <w:tcBorders>
              <w:bottom w:val="single" w:sz="2" w:space="0" w:color="000000"/>
            </w:tcBorders>
            <w:tcMar>
              <w:bottom w:w="28" w:type="dxa"/>
            </w:tcMar>
          </w:tcPr>
          <w:p>
            <w:pPr>
              <w:pStyle w:val="TableContents"/>
              <w:bidi w:val="0"/>
              <w:spacing w:before="0" w:after="283"/>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left"/>
              <w:rPr/>
            </w:pPr>
            <w:r>
              <w:rPr/>
              <w:t>Name:</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left"/>
              <w:rPr/>
            </w:pPr>
            <w:r>
              <w:rPr/>
              <w:t>Title:</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098" w:type="dxa"/>
            <w:gridSpan w:val="4"/>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left"/>
              <w:rPr/>
            </w:pPr>
            <w:r>
              <w:rPr/>
              <w:t>Signature Guaranteed:</w:t>
            </w:r>
          </w:p>
        </w:tc>
      </w:tr>
      <w:tr>
        <w:trPr>
          <w:trHeight w:val="12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098" w:type="dxa"/>
            <w:gridSpan w:val="4"/>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pBdr>
                <w:bottom w:val="single" w:sz="2" w:space="1" w:color="000000"/>
              </w:pBdr>
              <w:bidi w:val="0"/>
              <w:spacing w:before="0" w:after="20"/>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center"/>
              <w:rPr/>
            </w:pPr>
            <w:r>
              <w:rPr/>
              <w:t>Participant in a Recognized Signature</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center"/>
              <w:rPr/>
            </w:pPr>
            <w:r>
              <w:rPr/>
              <w:t>Guarantee Medallion Program</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89" w:type="dxa"/>
            <w:tcBorders>
              <w:bottom w:val="single" w:sz="2" w:space="0" w:color="000000"/>
            </w:tcBorders>
            <w:tcMar>
              <w:bottom w:w="28" w:type="dxa"/>
            </w:tcMar>
          </w:tcPr>
          <w:p>
            <w:pPr>
              <w:pStyle w:val="TableContents"/>
              <w:bidi w:val="0"/>
              <w:spacing w:before="0" w:after="283"/>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center"/>
              <w:rPr/>
            </w:pPr>
            <w:r>
              <w:rPr/>
              <w:t>Authorized Signatory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120" w:after="0"/>
        <w:jc w:val="center"/>
        <w:rPr>
          <w:rFonts w:ascii="Times New Roman" w:hAnsi="Times New Roman"/>
          <w:sz w:val="20"/>
        </w:rPr>
      </w:pPr>
      <w:r>
        <w:rPr>
          <w:rFonts w:ascii="Times New Roman" w:hAnsi="Times New Roman"/>
          <w:sz w:val="20"/>
        </w:rPr>
        <w:t xml:space="preserve">THE MACERICH PARTNERSHIP, L.P. </w:t>
      </w:r>
    </w:p>
    <w:p>
      <w:pPr>
        <w:pStyle w:val="TextBody"/>
        <w:bidi w:val="0"/>
        <w:spacing w:before="120" w:after="0"/>
        <w:jc w:val="center"/>
        <w:rPr>
          <w:rFonts w:ascii="Times New Roman" w:hAnsi="Times New Roman"/>
          <w:sz w:val="20"/>
        </w:rPr>
      </w:pPr>
      <w:r>
        <w:rPr>
          <w:rFonts w:ascii="Times New Roman" w:hAnsi="Times New Roman"/>
          <w:sz w:val="20"/>
        </w:rPr>
        <w:t xml:space="preserve">2.25% Exchangeable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the undersigned Holder of the Note identified below assigns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$________*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 _________ and Certificate No. _________, and all rights thereunder, to: </w:t>
      </w:r>
    </w:p>
    <w:p>
      <w:pPr>
        <w:pStyle w:val="TextBody"/>
        <w:bidi w:val="0"/>
        <w:spacing w:before="0" w:after="0"/>
        <w:jc w:val="left"/>
        <w:rPr/>
      </w:pPr>
      <w:r>
        <w:rPr/>
        <w:t> </w:t>
      </w:r>
    </w:p>
    <w:tbl>
      <w:tblPr>
        <w:tblW w:w="4850" w:type="pct"/>
        <w:jc w:val="right"/>
        <w:tblInd w:w="0" w:type="dxa"/>
        <w:tblLayout w:type="fixed"/>
        <w:tblCellMar>
          <w:top w:w="0" w:type="dxa"/>
          <w:left w:w="0" w:type="dxa"/>
          <w:bottom w:w="0" w:type="dxa"/>
          <w:right w:w="0" w:type="dxa"/>
        </w:tblCellMar>
      </w:tblPr>
      <w:tblGrid>
        <w:gridCol w:w="2150"/>
        <w:gridCol w:w="125"/>
        <w:gridCol w:w="3752"/>
        <w:gridCol w:w="125"/>
        <w:gridCol w:w="3746"/>
      </w:tblGrid>
      <w:tr>
        <w:trPr/>
        <w:tc>
          <w:tcPr>
            <w:tcW w:w="215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752" w:type="dxa"/>
            <w:tcBorders>
              <w:bottom w:val="single" w:sz="2" w:space="0" w:color="000000"/>
            </w:tcBorders>
            <w:tcMar>
              <w:bottom w:w="28" w:type="dxa"/>
            </w:tcMa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sz w:val="4"/>
                <w:szCs w:val="4"/>
              </w:rPr>
            </w:pPr>
            <w:r>
              <w:rPr>
                <w:sz w:val="4"/>
                <w:szCs w:val="4"/>
              </w:rPr>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752" w:type="dxa"/>
            <w:tcBorders>
              <w:bottom w:val="single" w:sz="2" w:space="0" w:color="000000"/>
            </w:tcBorders>
            <w:tcMar>
              <w:bottom w:w="28" w:type="dxa"/>
            </w:tcMa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sz w:val="4"/>
                <w:szCs w:val="4"/>
              </w:rPr>
            </w:pPr>
            <w:r>
              <w:rPr>
                <w:sz w:val="4"/>
                <w:szCs w:val="4"/>
              </w:rPr>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Social security or tax id. #:</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752" w:type="dxa"/>
            <w:tcBorders>
              <w:bottom w:val="single" w:sz="2" w:space="0" w:color="000000"/>
            </w:tcBorders>
            <w:tcMar>
              <w:bottom w:w="28" w:type="dxa"/>
            </w:tcMa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sz w:val="4"/>
                <w:szCs w:val="4"/>
              </w:rPr>
            </w:pPr>
            <w:r>
              <w:rPr>
                <w:sz w:val="4"/>
                <w:szCs w:val="4"/>
              </w:rPr>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and irrevocably appoints:</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752" w:type="dxa"/>
            <w:tcBorders>
              <w:bottom w:val="single" w:sz="2" w:space="0" w:color="000000"/>
            </w:tcBorders>
            <w:tcMar>
              <w:bottom w:w="28" w:type="dxa"/>
            </w:tcMa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as agent to transfer the within Note on the books of the Company. The agent may substitute another to act for him/her.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0"/>
        <w:gridCol w:w="101"/>
        <w:gridCol w:w="406"/>
        <w:gridCol w:w="101"/>
        <w:gridCol w:w="307"/>
        <w:gridCol w:w="101"/>
        <w:gridCol w:w="4589"/>
      </w:tblGrid>
      <w:tr>
        <w:trPr/>
        <w:tc>
          <w:tcPr>
            <w:tcW w:w="460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89"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pPr>
            <w:r>
              <w:rPr/>
              <w:t xml:space="preserve">Date: </w:t>
            </w:r>
            <w:r>
              <w:rPr>
                <w:u w:val="single"/>
              </w:rPr>
              <w:t>          </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vAlign w:val="bottom"/>
          </w:tcPr>
          <w:p>
            <w:pPr>
              <w:pStyle w:val="TableContents"/>
              <w:pBdr>
                <w:bottom w:val="single" w:sz="2" w:space="1" w:color="000000"/>
              </w:pBdr>
              <w:bidi w:val="0"/>
              <w:spacing w:before="0" w:after="20"/>
              <w:jc w:val="right"/>
              <w:rPr/>
            </w:pPr>
            <w:r>
              <w:rPr/>
              <w:t> </w:t>
            </w:r>
          </w:p>
        </w:tc>
      </w:tr>
      <w:tr>
        <w:trPr/>
        <w:tc>
          <w:tcPr>
            <w:tcW w:w="460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vAlign w:val="bottom"/>
          </w:tcPr>
          <w:p>
            <w:pPr>
              <w:pStyle w:val="TableContents"/>
              <w:bidi w:val="0"/>
              <w:spacing w:before="0" w:after="283"/>
              <w:jc w:val="center"/>
              <w:rPr/>
            </w:pPr>
            <w:r>
              <w:rPr/>
              <w:t>(Legal Name of Holder)</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89" w:type="dxa"/>
            <w:tcBorders>
              <w:bottom w:val="single" w:sz="2" w:space="0" w:color="000000"/>
            </w:tcBorders>
            <w:tcMar>
              <w:bottom w:w="28" w:type="dxa"/>
            </w:tcMar>
          </w:tcPr>
          <w:p>
            <w:pPr>
              <w:pStyle w:val="TableContents"/>
              <w:bidi w:val="0"/>
              <w:spacing w:before="0" w:after="283"/>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left"/>
              <w:rPr/>
            </w:pPr>
            <w:r>
              <w:rPr/>
              <w:t>Name:</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left"/>
              <w:rPr/>
            </w:pPr>
            <w:r>
              <w:rPr/>
              <w:t>Title:</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098" w:type="dxa"/>
            <w:gridSpan w:val="4"/>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left"/>
              <w:rPr/>
            </w:pPr>
            <w:r>
              <w:rPr/>
              <w:t>Signature Guaranteed:</w:t>
            </w:r>
          </w:p>
        </w:tc>
      </w:tr>
      <w:tr>
        <w:trPr>
          <w:trHeight w:val="12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098" w:type="dxa"/>
            <w:gridSpan w:val="4"/>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pBdr>
                <w:bottom w:val="single" w:sz="2" w:space="1" w:color="000000"/>
              </w:pBdr>
              <w:bidi w:val="0"/>
              <w:spacing w:before="0" w:after="20"/>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center"/>
              <w:rPr/>
            </w:pPr>
            <w:r>
              <w:rPr/>
              <w:t>Participant in a Recognized Signature</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center"/>
              <w:rPr/>
            </w:pPr>
            <w:r>
              <w:rPr/>
              <w:t>Guarantee Medallion Program</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89" w:type="dxa"/>
            <w:tcBorders>
              <w:bottom w:val="single" w:sz="2" w:space="0" w:color="000000"/>
            </w:tcBorders>
            <w:tcMar>
              <w:bottom w:w="28" w:type="dxa"/>
            </w:tcMar>
          </w:tcPr>
          <w:p>
            <w:pPr>
              <w:pStyle w:val="TableContents"/>
              <w:bidi w:val="0"/>
              <w:spacing w:before="0" w:after="283"/>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center"/>
              <w:rPr/>
            </w:pPr>
            <w:r>
              <w:rPr/>
              <w:t>Authorized Signatory</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TRANSFEROR ACKNOWLEDGMENT </w:t>
      </w:r>
    </w:p>
    <w:p>
      <w:pPr>
        <w:pStyle w:val="TextBody"/>
        <w:bidi w:val="0"/>
        <w:spacing w:before="240" w:after="0"/>
        <w:jc w:val="left"/>
        <w:rPr>
          <w:rFonts w:ascii="Times New Roman" w:hAnsi="Times New Roman"/>
          <w:sz w:val="20"/>
        </w:rPr>
      </w:pPr>
      <w:r>
        <w:rPr>
          <w:rFonts w:ascii="Times New Roman" w:hAnsi="Times New Roman"/>
          <w:sz w:val="20"/>
        </w:rPr>
        <w:t xml:space="preserve">If the within Note bears a Restricted Note Legend, the undersigned further certifies that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t>1. ☐</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being made to the Company or a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2. ☐</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being made pursuant to, and in accordance with, a registration statement that is effective under the Securities Act at the time of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3. ☐</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rFonts w:ascii="Times New Roman" w:hAnsi="Times New Roman"/>
                <w:b/>
                <w:sz w:val="20"/>
              </w:rPr>
              <w:t>If this item is checked, then the transferee must complete and execute the acknowledgment contained on the next page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4. ☐</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being made pursuant to, and in accordance with, any other available exemption from the registration requirements of the Securities Act (including, if available, the exemption provided by Rule 144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0"/>
        <w:gridCol w:w="101"/>
        <w:gridCol w:w="406"/>
        <w:gridCol w:w="101"/>
        <w:gridCol w:w="307"/>
        <w:gridCol w:w="101"/>
        <w:gridCol w:w="4589"/>
      </w:tblGrid>
      <w:tr>
        <w:trPr/>
        <w:tc>
          <w:tcPr>
            <w:tcW w:w="460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89"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pPr>
            <w:r>
              <w:rPr/>
              <w:t xml:space="preserve">Date: </w:t>
            </w:r>
            <w:r>
              <w:rPr>
                <w:u w:val="single"/>
              </w:rPr>
              <w:t>          </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vAlign w:val="bottom"/>
          </w:tcPr>
          <w:p>
            <w:pPr>
              <w:pStyle w:val="TableContents"/>
              <w:pBdr>
                <w:bottom w:val="single" w:sz="2" w:space="1" w:color="000000"/>
              </w:pBdr>
              <w:bidi w:val="0"/>
              <w:spacing w:before="0" w:after="20"/>
              <w:jc w:val="right"/>
              <w:rPr/>
            </w:pPr>
            <w:r>
              <w:rPr/>
              <w:t> </w:t>
            </w:r>
          </w:p>
        </w:tc>
      </w:tr>
      <w:tr>
        <w:trPr/>
        <w:tc>
          <w:tcPr>
            <w:tcW w:w="460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vAlign w:val="bottom"/>
          </w:tcPr>
          <w:p>
            <w:pPr>
              <w:pStyle w:val="TableContents"/>
              <w:bidi w:val="0"/>
              <w:spacing w:before="0" w:after="283"/>
              <w:jc w:val="center"/>
              <w:rPr/>
            </w:pPr>
            <w:r>
              <w:rPr/>
              <w:t>(Legal Name of Holder)</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89" w:type="dxa"/>
            <w:tcBorders>
              <w:bottom w:val="single" w:sz="2" w:space="0" w:color="000000"/>
            </w:tcBorders>
            <w:tcMar>
              <w:bottom w:w="28" w:type="dxa"/>
            </w:tcMar>
          </w:tcPr>
          <w:p>
            <w:pPr>
              <w:pStyle w:val="TableContents"/>
              <w:bidi w:val="0"/>
              <w:spacing w:before="0" w:after="283"/>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left"/>
              <w:rPr/>
            </w:pPr>
            <w:r>
              <w:rPr/>
              <w:t>Name:</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left"/>
              <w:rPr/>
            </w:pPr>
            <w:r>
              <w:rPr/>
              <w:t>Title:</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098" w:type="dxa"/>
            <w:gridSpan w:val="4"/>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left"/>
              <w:rPr/>
            </w:pPr>
            <w:r>
              <w:rPr/>
              <w:t>Signature Guaranteed:</w:t>
            </w:r>
          </w:p>
        </w:tc>
      </w:tr>
      <w:tr>
        <w:trPr>
          <w:trHeight w:val="12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098" w:type="dxa"/>
            <w:gridSpan w:val="4"/>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pBdr>
                <w:bottom w:val="single" w:sz="2" w:space="1" w:color="000000"/>
              </w:pBdr>
              <w:bidi w:val="0"/>
              <w:spacing w:before="0" w:after="20"/>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center"/>
              <w:rPr/>
            </w:pPr>
            <w:r>
              <w:rPr/>
              <w:t>(Participant in a Recognized Signature</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7" w:type="dxa"/>
            <w:gridSpan w:val="3"/>
            <w:tcBorders/>
          </w:tcPr>
          <w:p>
            <w:pPr>
              <w:pStyle w:val="TableContents"/>
              <w:bidi w:val="0"/>
              <w:spacing w:before="0" w:after="283"/>
              <w:jc w:val="center"/>
              <w:rPr/>
            </w:pPr>
            <w:r>
              <w:rPr/>
              <w:t>Guarantee Medallion Program)</w:t>
            </w:r>
          </w:p>
        </w:tc>
      </w:tr>
      <w:tr>
        <w:trPr>
          <w:trHeight w:val="240" w:hRule="atLeast"/>
        </w:trPr>
        <w:tc>
          <w:tcPr>
            <w:tcW w:w="460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89" w:type="dxa"/>
            <w:tcBorders>
              <w:bottom w:val="single" w:sz="2" w:space="0" w:color="000000"/>
            </w:tcBorders>
            <w:tcMar>
              <w:bottom w:w="28" w:type="dxa"/>
            </w:tcMar>
          </w:tcPr>
          <w:p>
            <w:pPr>
              <w:pStyle w:val="TableContents"/>
              <w:bidi w:val="0"/>
              <w:spacing w:before="0" w:after="283"/>
              <w:jc w:val="left"/>
              <w:rPr/>
            </w:pPr>
            <w:r>
              <w:rPr/>
              <w:t> </w:t>
            </w:r>
          </w:p>
        </w:tc>
      </w:tr>
      <w:tr>
        <w:trPr/>
        <w:tc>
          <w:tcPr>
            <w:tcW w:w="460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9" w:type="dxa"/>
            <w:tcBorders/>
          </w:tcPr>
          <w:p>
            <w:pPr>
              <w:pStyle w:val="TableContents"/>
              <w:bidi w:val="0"/>
              <w:spacing w:before="0" w:after="283"/>
              <w:jc w:val="center"/>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TRANSFEREE ACKNOWLEDGMENT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102"/>
        <w:gridCol w:w="403"/>
        <w:gridCol w:w="102"/>
        <w:gridCol w:w="311"/>
        <w:gridCol w:w="102"/>
        <w:gridCol w:w="4575"/>
      </w:tblGrid>
      <w:tr>
        <w:trPr/>
        <w:tc>
          <w:tcPr>
            <w:tcW w:w="46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610" w:type="dxa"/>
            <w:tcBorders/>
            <w:vAlign w:val="bottom"/>
          </w:tcPr>
          <w:p>
            <w:pPr>
              <w:pStyle w:val="TableContents"/>
              <w:bidi w:val="0"/>
              <w:spacing w:before="0" w:after="283"/>
              <w:jc w:val="left"/>
              <w:rPr/>
            </w:pPr>
            <w:r>
              <w:rPr/>
              <w:t xml:space="preserve">Dated: </w:t>
            </w:r>
            <w:r>
              <w:rPr>
                <w:u w:val="single"/>
              </w:rPr>
              <w:t>          </w:t>
            </w:r>
          </w:p>
        </w:tc>
        <w:tc>
          <w:tcPr>
            <w:tcW w:w="10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88" w:type="dxa"/>
            <w:gridSpan w:val="3"/>
            <w:tcBorders/>
            <w:vAlign w:val="bottom"/>
          </w:tcPr>
          <w:p>
            <w:pPr>
              <w:pStyle w:val="TableContents"/>
              <w:pBdr>
                <w:bottom w:val="single" w:sz="2" w:space="1" w:color="000000"/>
              </w:pBdr>
              <w:bidi w:val="0"/>
              <w:spacing w:before="0" w:after="20"/>
              <w:jc w:val="left"/>
              <w:rPr/>
            </w:pPr>
            <w:r>
              <w:rPr/>
              <w:t> </w:t>
            </w:r>
          </w:p>
        </w:tc>
      </w:tr>
      <w:tr>
        <w:trPr/>
        <w:tc>
          <w:tcPr>
            <w:tcW w:w="461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75" w:type="dxa"/>
            <w:tcBorders/>
            <w:vAlign w:val="bottom"/>
          </w:tcPr>
          <w:p>
            <w:pPr>
              <w:pStyle w:val="TableContents"/>
              <w:bidi w:val="0"/>
              <w:spacing w:before="0" w:after="283"/>
              <w:jc w:val="center"/>
              <w:rPr/>
            </w:pPr>
            <w:r>
              <w:rPr/>
              <w:t>(Name of Transferee)</w:t>
            </w:r>
          </w:p>
        </w:tc>
      </w:tr>
      <w:tr>
        <w:trPr>
          <w:trHeight w:val="240" w:hRule="atLeast"/>
        </w:trPr>
        <w:tc>
          <w:tcPr>
            <w:tcW w:w="4610" w:type="dxa"/>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vAlign w:val="center"/>
          </w:tcPr>
          <w:p>
            <w:pPr>
              <w:pStyle w:val="TableContents"/>
              <w:bidi w:val="0"/>
              <w:spacing w:before="0" w:after="283"/>
              <w:jc w:val="left"/>
              <w:rPr>
                <w:sz w:val="4"/>
                <w:szCs w:val="4"/>
              </w:rPr>
            </w:pPr>
            <w:r>
              <w:rPr>
                <w:sz w:val="4"/>
                <w:szCs w:val="4"/>
              </w:rPr>
            </w:r>
          </w:p>
        </w:tc>
        <w:tc>
          <w:tcPr>
            <w:tcW w:w="4677" w:type="dxa"/>
            <w:gridSpan w:val="2"/>
            <w:tcBorders/>
            <w:vAlign w:val="center"/>
          </w:tcPr>
          <w:p>
            <w:pPr>
              <w:pStyle w:val="TableContents"/>
              <w:bidi w:val="0"/>
              <w:spacing w:before="0" w:after="283"/>
              <w:jc w:val="left"/>
              <w:rPr>
                <w:sz w:val="4"/>
                <w:szCs w:val="4"/>
              </w:rPr>
            </w:pPr>
            <w:r>
              <w:rPr>
                <w:sz w:val="4"/>
                <w:szCs w:val="4"/>
              </w:rPr>
            </w:r>
          </w:p>
        </w:tc>
      </w:tr>
      <w:tr>
        <w:trPr/>
        <w:tc>
          <w:tcPr>
            <w:tcW w:w="46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575" w:type="dxa"/>
            <w:tcBorders>
              <w:bottom w:val="single" w:sz="2" w:space="0" w:color="000000"/>
            </w:tcBorders>
            <w:tcMar>
              <w:bottom w:w="28" w:type="dxa"/>
            </w:tcMar>
          </w:tcPr>
          <w:p>
            <w:pPr>
              <w:pStyle w:val="TableContents"/>
              <w:bidi w:val="0"/>
              <w:spacing w:before="0" w:after="283"/>
              <w:jc w:val="left"/>
              <w:rPr/>
            </w:pPr>
            <w:r>
              <w:rPr/>
              <w:t> </w:t>
            </w:r>
          </w:p>
        </w:tc>
      </w:tr>
      <w:tr>
        <w:trPr/>
        <w:tc>
          <w:tcPr>
            <w:tcW w:w="46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Name:</w:t>
            </w:r>
          </w:p>
        </w:tc>
      </w:tr>
      <w:tr>
        <w:trPr/>
        <w:tc>
          <w:tcPr>
            <w:tcW w:w="46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RESTRICTED NOTE LEGEND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THIS NOTE AND THE SHARES OF COMMON STOCK, IF ANY, DELIVERABLE UPON EXCHANGE OF THIS NOTE HAVE NOT BEEN REGISTERED UNDER THE SECURITIES ACT OF 1933, AS AMENDED (THE “SECURITIES ACT”), AND THIS NOTE MAY NOT BE OFFERED, SOLD, PLEDGED OR OTHERWISE TRANSFERRED EXCEPT IN ACCORDANCE WITH THE FOLLOWING SENTENCE. BY ITS ACQUISITION HEREOF OR OF A BENEFICIAL INTEREST HEREIN, THE ACQUIRER: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THAT IT AND ANY ACCOUNT FOR WHICH IT IS ACTING IS A “QUALIFIED INSTITUTIONAL BUYER” (WITHIN THE MEANING OF RULE 144A UNDER THE SECURITIES ACT) AND THAT IT EXERCISES SOLE INVESTMENT DISCRETION WITH RESPECT TO EACH SUCH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AGREES FOR THE BENEFIT OF THE MACERICH PARTNERSHIP, L.P. (THE “COMPANY”) THAT IT WILL NOT OFFER, SELL, PLEDGE OR OTHERWISE TRANSFER THIS NOTE OR ANY BENEFICIAL INTEREST HEREIN, EXCEPT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MACERICH COMPANY, THE COMPANY OR ANY OF THEIR RESPECTIVE SUBSIDIARIES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REGISTRATION STATEMENT THAT IS EFFECTIVE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PERSON REASONABLY BELIEVED TO BE A QUALIFIED INSTITUTIONAL BUYER IN COMPLIANCE WITH RULE 144A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144 UNDER THE SECURITIES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ANY OTHER EXEMPTION FROM, OR IN A TRANSACTION NOT SUBJECT TO, THE REGISTRATION REQUIREMENTS OF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THE REGISTRATION OF ANY SALE OR TRANSFER IN ACCORDANCE WITH (2)(C), (D) OR (E) ABOVE, THE COMPANY, THE MACERICH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GLOBAL NOTE LEGEND </w:t>
      </w:r>
    </w:p>
    <w:p>
      <w:pPr>
        <w:pStyle w:val="TextBody"/>
        <w:bidi w:val="0"/>
        <w:spacing w:before="240" w:after="0"/>
        <w:jc w:val="left"/>
        <w:rPr>
          <w:rFonts w:ascii="Times New Roman" w:hAnsi="Times New Roman"/>
          <w:sz w:val="20"/>
        </w:rPr>
      </w:pPr>
      <w:r>
        <w:rPr>
          <w:rFonts w:ascii="Times New Roman" w:hAnsi="Times New Roman"/>
          <w:sz w:val="20"/>
        </w:rPr>
        <w:t xml:space="preserve">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B-3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NON-AFFILIATE LEGEND </w:t>
      </w:r>
    </w:p>
    <w:p>
      <w:pPr>
        <w:pStyle w:val="TextBody"/>
        <w:bidi w:val="0"/>
        <w:spacing w:before="240" w:after="0"/>
        <w:jc w:val="left"/>
        <w:rPr>
          <w:rFonts w:ascii="Times New Roman" w:hAnsi="Times New Roman"/>
          <w:sz w:val="20"/>
        </w:rPr>
      </w:pPr>
      <w:r>
        <w:rPr>
          <w:rFonts w:ascii="Times New Roman" w:hAnsi="Times New Roman"/>
          <w:sz w:val="20"/>
        </w:rPr>
        <w:t xml:space="preserve">NO AFFILIATE (AS DEFINED IN RULE 144 UNDER THE SECURITIES ACT OF 1933, AS AMENDED) OF THE COMPANY MAY PURCHASE OR OTHERWISE ACQUIRE THIS NOTE OR ANY BENEFICIAL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p>
    <w:p>
      <w:pPr>
        <w:pStyle w:val="TextBody"/>
        <w:bidi w:val="0"/>
        <w:spacing w:before="0" w:after="0"/>
        <w:jc w:val="right"/>
        <w:rPr>
          <w:rFonts w:ascii="Times New Roman" w:hAnsi="Times New Roman"/>
          <w:b/>
          <w:sz w:val="20"/>
        </w:rPr>
      </w:pPr>
      <w:bookmarkStart w:id="5" w:name="d106117dex43.htm"/>
      <w:bookmarkStart w:id="6" w:name="ksd106117dex43"/>
      <w:bookmarkEnd w:id="5"/>
      <w:bookmarkEnd w:id="6"/>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The Macerich Partnership, L.P. </w:t>
      </w:r>
    </w:p>
    <w:p>
      <w:pPr>
        <w:pStyle w:val="TextBody"/>
        <w:bidi w:val="0"/>
        <w:spacing w:before="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August 11,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
        <w:gridCol w:w="206"/>
        <w:gridCol w:w="859"/>
        <w:gridCol w:w="118"/>
        <w:gridCol w:w="7911"/>
        <w:gridCol w:w="154"/>
        <w:gridCol w:w="60"/>
        <w:gridCol w:w="539"/>
        <w:gridCol w:w="66"/>
      </w:tblGrid>
      <w:tr>
        <w:trPr/>
        <w:tc>
          <w:tcPr>
            <w:tcW w:w="292"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911"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Page</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1.</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Definitions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2.</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Rules of Construction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3.</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Resale Registration Statement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6</w:t>
            </w:r>
          </w:p>
        </w:tc>
        <w:tc>
          <w:tcPr>
            <w:tcW w:w="66" w:type="dxa"/>
            <w:tcBorders/>
            <w:vAlign w:val="bottom"/>
          </w:tcPr>
          <w:p>
            <w:pPr>
              <w:pStyle w:val="TableContents"/>
              <w:bidi w:val="0"/>
              <w:spacing w:before="0" w:after="283"/>
              <w:jc w:val="left"/>
              <w:rPr/>
            </w:pPr>
            <w:r>
              <w:rPr/>
              <w:t> </w:t>
            </w:r>
          </w:p>
        </w:tc>
      </w:tr>
      <w:tr>
        <w:trPr>
          <w:trHeight w:val="120" w:hRule="atLeast"/>
        </w:trPr>
        <w:tc>
          <w:tcPr>
            <w:tcW w:w="292" w:type="dxa"/>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(a)</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Filing and Effectiveness of Resale Registration Statement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6</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(b)</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Contents of and Requirements for Resale Registration Statement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6</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(c)</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Obligation to Make Filings to Name Additional Notice Holders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6</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(d)</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Filing of New Resale Registration Statement; Designation of Existing Registration Statement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7</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(e)</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Where SEC Rules Do Not Require Naming Selling Securityholders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7</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4.</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Blackout Periods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8</w:t>
            </w:r>
          </w:p>
        </w:tc>
        <w:tc>
          <w:tcPr>
            <w:tcW w:w="66" w:type="dxa"/>
            <w:tcBorders/>
            <w:vAlign w:val="bottom"/>
          </w:tcPr>
          <w:p>
            <w:pPr>
              <w:pStyle w:val="TableContents"/>
              <w:bidi w:val="0"/>
              <w:spacing w:before="0" w:after="283"/>
              <w:jc w:val="left"/>
              <w:rPr/>
            </w:pPr>
            <w:r>
              <w:rPr/>
              <w:t> </w:t>
            </w:r>
          </w:p>
        </w:tc>
      </w:tr>
      <w:tr>
        <w:trPr>
          <w:trHeight w:val="120" w:hRule="atLeast"/>
        </w:trPr>
        <w:tc>
          <w:tcPr>
            <w:tcW w:w="292" w:type="dxa"/>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(a)</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Generally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8</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(b)</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Limitation on Blackout Periods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8</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5.</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Certain Registration and Related Procedures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8</w:t>
            </w:r>
          </w:p>
        </w:tc>
        <w:tc>
          <w:tcPr>
            <w:tcW w:w="66" w:type="dxa"/>
            <w:tcBorders/>
            <w:vAlign w:val="bottom"/>
          </w:tcPr>
          <w:p>
            <w:pPr>
              <w:pStyle w:val="TableContents"/>
              <w:bidi w:val="0"/>
              <w:spacing w:before="0" w:after="283"/>
              <w:jc w:val="left"/>
              <w:rPr/>
            </w:pPr>
            <w:r>
              <w:rPr/>
              <w:t> </w:t>
            </w:r>
          </w:p>
        </w:tc>
      </w:tr>
      <w:tr>
        <w:trPr>
          <w:trHeight w:val="120" w:hRule="atLeast"/>
        </w:trPr>
        <w:tc>
          <w:tcPr>
            <w:tcW w:w="292" w:type="dxa"/>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(a)</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Compliance with Registration Obligations and Securities Act; SEC Staff Comments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8</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(b)</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Opportunity for Review</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8</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(c)</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Blue Sky Qualification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8</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(d)</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Prevention and Lifting of Suspension Orders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9</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(e)</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Notices of Certain Events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9</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(f)</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Remediation of Material Disclosure Defects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9</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(g)</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Listing of Registrable Securities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9</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(h)</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Provision of Copies of the Prospectus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9</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(i)</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Holders Cannot Be Identified as Underwriters Without Consent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10</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(j)</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Earnings Statement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10</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(k)</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Settlement of Transfers and De-Legending</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10</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6.</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Expenses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10</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7.</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Accrual of Additional Interest During Registration Default Events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10</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(a)</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Generally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10</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(b)</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No Registration Default Events Outside the Resale Registration Statement Effectiveness Period; No Accrual of Additional Interest on Registrable Securities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11</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(c)</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Accrual and Payment of Additional Interest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11</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(d)</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Remedies Not Exclusive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11</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8.</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Certain Agreements and Representations of the Holders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11</w:t>
            </w:r>
          </w:p>
        </w:tc>
        <w:tc>
          <w:tcPr>
            <w:tcW w:w="66" w:type="dxa"/>
            <w:tcBorders/>
            <w:vAlign w:val="bottom"/>
          </w:tcPr>
          <w:p>
            <w:pPr>
              <w:pStyle w:val="TableContents"/>
              <w:bidi w:val="0"/>
              <w:spacing w:before="0" w:after="283"/>
              <w:jc w:val="left"/>
              <w:rPr/>
            </w:pPr>
            <w:r>
              <w:rPr/>
              <w:t> </w:t>
            </w:r>
          </w:p>
        </w:tc>
      </w:tr>
      <w:tr>
        <w:trPr>
          <w:trHeight w:val="120" w:hRule="atLeast"/>
        </w:trPr>
        <w:tc>
          <w:tcPr>
            <w:tcW w:w="292" w:type="dxa"/>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(a)</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Provision of Information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11</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(b)</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Use of Offering Materials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11</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(c)</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Covenants Relating to Blackout Periods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11</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9.</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Indemnification and Contribution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12</w:t>
            </w:r>
          </w:p>
        </w:tc>
        <w:tc>
          <w:tcPr>
            <w:tcW w:w="66" w:type="dxa"/>
            <w:tcBorders/>
            <w:vAlign w:val="bottom"/>
          </w:tcPr>
          <w:p>
            <w:pPr>
              <w:pStyle w:val="TableContents"/>
              <w:bidi w:val="0"/>
              <w:spacing w:before="0" w:after="283"/>
              <w:jc w:val="left"/>
              <w:rPr/>
            </w:pPr>
            <w:r>
              <w:rPr/>
              <w:t> </w:t>
            </w:r>
          </w:p>
        </w:tc>
      </w:tr>
      <w:tr>
        <w:trPr>
          <w:trHeight w:val="120" w:hRule="atLeast"/>
        </w:trPr>
        <w:tc>
          <w:tcPr>
            <w:tcW w:w="292" w:type="dxa"/>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(a)</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Indemnification by the Issuers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12</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(b)</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Indemnification by the Holders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12</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(c)</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Indemnification Procedures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12</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(d)</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Contribution Where Indemnification Not Available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13</w:t>
            </w:r>
          </w:p>
        </w:tc>
        <w:tc>
          <w:tcPr>
            <w:tcW w:w="66" w:type="dxa"/>
            <w:tcBorders/>
            <w:vAlign w:val="bottom"/>
          </w:tcPr>
          <w:p>
            <w:pPr>
              <w:pStyle w:val="TableContents"/>
              <w:bidi w:val="0"/>
              <w:spacing w:before="0" w:after="283"/>
              <w:jc w:val="left"/>
              <w:rPr/>
            </w:pPr>
            <w:r>
              <w:rPr/>
              <w:t> </w:t>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(e)</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Remedies Not Exclusive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10.</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Subsequent Holders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r>
        <w:trPr>
          <w:trHeight w:val="120" w:hRule="atLeast"/>
        </w:trPr>
        <w:tc>
          <w:tcPr>
            <w:tcW w:w="1357" w:type="dxa"/>
            <w:gridSpan w:val="3"/>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Pr>
          <w:p>
            <w:pPr>
              <w:pStyle w:val="TableContents"/>
              <w:bidi w:val="0"/>
              <w:spacing w:before="0" w:after="283"/>
              <w:jc w:val="left"/>
              <w:rPr/>
            </w:pPr>
            <w:r>
              <w:rPr/>
              <w:t>Section 11.</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Miscellaneous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r>
        <w:trPr>
          <w:trHeight w:val="120" w:hRule="atLeast"/>
        </w:trPr>
        <w:tc>
          <w:tcPr>
            <w:tcW w:w="292" w:type="dxa"/>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29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(a)</w:t>
            </w:r>
          </w:p>
        </w:tc>
        <w:tc>
          <w:tcPr>
            <w:tcW w:w="118" w:type="dxa"/>
            <w:tcBorders/>
            <w:vAlign w:val="bottom"/>
          </w:tcPr>
          <w:p>
            <w:pPr>
              <w:pStyle w:val="TableContents"/>
              <w:bidi w:val="0"/>
              <w:spacing w:before="0" w:after="283"/>
              <w:jc w:val="left"/>
              <w:rPr/>
            </w:pPr>
            <w:r>
              <w:rPr/>
              <w:t> </w:t>
            </w:r>
          </w:p>
        </w:tc>
        <w:tc>
          <w:tcPr>
            <w:tcW w:w="7911" w:type="dxa"/>
            <w:tcBorders/>
          </w:tcPr>
          <w:p>
            <w:pPr>
              <w:pStyle w:val="TableContents"/>
              <w:bidi w:val="0"/>
              <w:spacing w:before="0" w:after="283"/>
              <w:jc w:val="left"/>
              <w:rPr/>
            </w:pPr>
            <w:r>
              <w:rPr/>
              <w:t>Notices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
        <w:gridCol w:w="118"/>
        <w:gridCol w:w="372"/>
        <w:gridCol w:w="118"/>
        <w:gridCol w:w="8547"/>
        <w:gridCol w:w="146"/>
        <w:gridCol w:w="60"/>
        <w:gridCol w:w="496"/>
        <w:gridCol w:w="65"/>
      </w:tblGrid>
      <w:tr>
        <w:trPr/>
        <w:tc>
          <w:tcPr>
            <w:tcW w:w="28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5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283" w:type="dxa"/>
            <w:tcBorders/>
            <w:vAlign w:val="center"/>
          </w:tcPr>
          <w:p>
            <w:pPr>
              <w:pStyle w:val="TableContents"/>
              <w:bidi w:val="0"/>
              <w:spacing w:before="0" w:after="283"/>
              <w:jc w:val="left"/>
              <w:rPr>
                <w:sz w:val="4"/>
                <w:szCs w:val="4"/>
              </w:rPr>
            </w:pPr>
            <w:r>
              <w:rPr>
                <w:sz w:val="4"/>
                <w:szCs w:val="4"/>
              </w:rPr>
            </w:r>
          </w:p>
        </w:tc>
        <w:tc>
          <w:tcPr>
            <w:tcW w:w="490" w:type="dxa"/>
            <w:gridSpan w:val="2"/>
            <w:tcBorders/>
            <w:vAlign w:val="center"/>
          </w:tcPr>
          <w:p>
            <w:pPr>
              <w:pStyle w:val="TableContents"/>
              <w:bidi w:val="0"/>
              <w:spacing w:before="0" w:after="283"/>
              <w:jc w:val="left"/>
              <w:rPr>
                <w:sz w:val="4"/>
                <w:szCs w:val="4"/>
              </w:rPr>
            </w:pPr>
            <w:r>
              <w:rPr>
                <w:sz w:val="4"/>
                <w:szCs w:val="4"/>
              </w:rPr>
            </w:r>
          </w:p>
        </w:tc>
        <w:tc>
          <w:tcPr>
            <w:tcW w:w="8665"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(b)</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Amendments and Waivers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(c)</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Third Party Beneficiaries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(d)</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Governing Law; Waiver of Jury Trial</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(e)</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Submission to Jurisdiction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(f)</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No Adverse Interpretation of Other Agreements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(g)</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Successors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(h)</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Severability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(i)</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Counterparts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(j)</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Table of Contents, Headings, Etc.</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(k)</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Entire Agreement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(l)</w:t>
            </w:r>
          </w:p>
        </w:tc>
        <w:tc>
          <w:tcPr>
            <w:tcW w:w="118"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r>
              <w:rPr/>
              <w:t>Specific Performance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7"/>
        <w:gridCol w:w="122"/>
        <w:gridCol w:w="4786"/>
      </w:tblGrid>
      <w:tr>
        <w:trPr/>
        <w:tc>
          <w:tcPr>
            <w:tcW w:w="529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283"/>
              <w:jc w:val="left"/>
              <w:rPr/>
            </w:pPr>
            <w:r>
              <w:rPr/>
              <w:t>Exhibit A: Form of Notice and Questionnaire</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right"/>
              <w:rPr/>
            </w:pPr>
            <w:r>
              <w:rPr/>
              <w:t>A-1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REGISTRATION RIGHTS AGREEMENT</w:t>
      </w:r>
      <w:r>
        <w:rPr>
          <w:rFonts w:ascii="Times New Roman" w:hAnsi="Times New Roman"/>
          <w:sz w:val="20"/>
        </w:rPr>
        <w:t>, dated as of August 11, 2026, among The Macerich Partnership, L.P., a Delaware limited partnership (the “</w:t>
      </w:r>
      <w:r>
        <w:rPr>
          <w:rFonts w:ascii="Times New Roman" w:hAnsi="Times New Roman"/>
          <w:b/>
          <w:sz w:val="20"/>
        </w:rPr>
        <w:t>Operating Partnership</w:t>
      </w:r>
      <w:r>
        <w:rPr>
          <w:rFonts w:ascii="Times New Roman" w:hAnsi="Times New Roman"/>
          <w:sz w:val="20"/>
        </w:rPr>
        <w:t>”), The Macerich Company, a Maryland corporation (the “</w:t>
      </w:r>
      <w:r>
        <w:rPr>
          <w:rFonts w:ascii="Times New Roman" w:hAnsi="Times New Roman"/>
          <w:b/>
          <w:sz w:val="20"/>
        </w:rPr>
        <w:t>Company</w:t>
      </w:r>
      <w:r>
        <w:rPr>
          <w:rFonts w:ascii="Times New Roman" w:hAnsi="Times New Roman"/>
          <w:sz w:val="20"/>
        </w:rPr>
        <w:t>,” and, together with the Operating Partnership, the “</w:t>
      </w:r>
      <w:r>
        <w:rPr>
          <w:rFonts w:ascii="Times New Roman" w:hAnsi="Times New Roman"/>
          <w:b/>
          <w:sz w:val="20"/>
        </w:rPr>
        <w:t>Issuers</w:t>
      </w:r>
      <w:r>
        <w:rPr>
          <w:rFonts w:ascii="Times New Roman" w:hAnsi="Times New Roman"/>
          <w:sz w:val="20"/>
        </w:rPr>
        <w:t xml:space="preserve">”), and J.P. Morgan Securities LLC and Morgan Stanley &amp; Co. LLC acting as the representatives of the several Initial Purchasers.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execution and delivery of this Agreement is a condition to the closing of the transactions contemplated by the Purchase Agreement (as defined in </w:t>
      </w: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THEREFORE</w:t>
      </w:r>
      <w:r>
        <w:rPr>
          <w:rFonts w:ascii="Times New Roman" w:hAnsi="Times New Roman"/>
          <w:sz w:val="20"/>
        </w:rPr>
        <w:t xml:space="preserve">, the Issuers, jointly and severally, agree as follows for the benefit of the Initial Purchasers and the Holders (as defined in </w:t>
      </w: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Additional Interest</w:t>
      </w:r>
      <w:r>
        <w:rPr>
          <w:rFonts w:ascii="Times New Roman" w:hAnsi="Times New Roman"/>
          <w:sz w:val="20"/>
        </w:rPr>
        <w:t xml:space="preserve">” means any fee payable by the Issuers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has the meaning set forth in Rule 144.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Registration Rights Agreement, as amended or supplemented from time to time. </w:t>
      </w:r>
    </w:p>
    <w:p>
      <w:pPr>
        <w:pStyle w:val="TextBody"/>
        <w:bidi w:val="0"/>
        <w:spacing w:before="240" w:after="0"/>
        <w:jc w:val="left"/>
        <w:rPr/>
      </w:pPr>
      <w:r>
        <w:rPr/>
        <w:t>“</w:t>
      </w:r>
      <w:r>
        <w:rPr>
          <w:rFonts w:ascii="Times New Roman" w:hAnsi="Times New Roman"/>
          <w:b/>
          <w:sz w:val="20"/>
        </w:rPr>
        <w:t>As-Exchanged Note Ownership Percentage</w:t>
      </w:r>
      <w:r>
        <w:rPr>
          <w:rFonts w:ascii="Times New Roman" w:hAnsi="Times New Roman"/>
          <w:sz w:val="20"/>
        </w:rPr>
        <w:t xml:space="preserve">” means, with respect to any Notice Holder(s) as of any time, a fraction (a) whose numerator is the aggregate number of Registrable Securities owned, or deliverable upon exchange of Initial Notes owned, by such Notice Holder(s) as of such time; and (b) whose denominator is the aggregate number of Registrable Securities that are either (x) then outstanding and held by Holders that are Notice Holders as of such time; or (y) are deliverable upon exchange of all Initial Notes then outstanding and held by Holders that are Notice Holders as of such time (assuming, for these purposes, that exchanges are settled solely in Registrable Securities at the then-applicable exchange rate (for the avoidance of doubt, without regard to anything to the contrary in Sections 5.01(D) and 5.03 of the Indenture)). Solely for purposes of this definition, Initial Notes or Registrable Securities owned by any of the Issuers or any of their respective Affiliates will be deemed not to be outstanding. </w:t>
      </w:r>
    </w:p>
    <w:p>
      <w:pPr>
        <w:pStyle w:val="TextBody"/>
        <w:bidi w:val="0"/>
        <w:spacing w:before="240" w:after="0"/>
        <w:jc w:val="left"/>
        <w:rPr/>
      </w:pPr>
      <w:r>
        <w:rPr/>
        <w:t>“</w:t>
      </w:r>
      <w:r>
        <w:rPr>
          <w:rFonts w:ascii="Times New Roman" w:hAnsi="Times New Roman"/>
          <w:b/>
          <w:sz w:val="20"/>
        </w:rPr>
        <w:t>Blackout Commencement Notice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Blackout Period</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Blackout Termination Notice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any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$0.01 par value per share, of the Company. </w:t>
      </w:r>
    </w:p>
    <w:p>
      <w:pPr>
        <w:pStyle w:val="TextBody"/>
        <w:bidi w:val="0"/>
        <w:spacing w:before="240" w:after="0"/>
        <w:jc w:val="left"/>
        <w:rPr/>
      </w:pPr>
      <w:r>
        <w:rPr/>
        <w:t>“</w:t>
      </w:r>
      <w:r>
        <w:rPr>
          <w:rFonts w:ascii="Times New Roman" w:hAnsi="Times New Roman"/>
          <w:b/>
          <w:sz w:val="20"/>
        </w:rPr>
        <w:t>Common Stock Change Event</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Person named as such in the first paragraph of this Agreement. </w:t>
      </w:r>
    </w:p>
    <w:p>
      <w:pPr>
        <w:pStyle w:val="TextBody"/>
        <w:bidi w:val="0"/>
        <w:spacing w:before="240" w:after="0"/>
        <w:jc w:val="left"/>
        <w:rPr/>
      </w:pPr>
      <w:r>
        <w:rPr/>
        <w:t>“</w:t>
      </w:r>
      <w:r>
        <w:rPr>
          <w:rFonts w:ascii="Times New Roman" w:hAnsi="Times New Roman"/>
          <w:b/>
          <w:sz w:val="20"/>
        </w:rPr>
        <w:t>Company Business Combination Event</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Company Indemnified Person</w:t>
      </w:r>
      <w:r>
        <w:rPr>
          <w:rFonts w:ascii="Times New Roman" w:hAnsi="Times New Roman"/>
          <w:sz w:val="20"/>
        </w:rPr>
        <w:t xml:space="preserve">” means each of the following Persons: (a) any Issuer; (b) any Affiliate of any Issuer; (c) any partner, director, officer, member, stockholder, employee, advisor or other representative of any of Issuer or its Affiliates; (d) each Person, if any, who controls any Issuer within the meaning of Section 15 of the Securities Act or Section 20 of the Exchange Act; and (e) each successor of the foregoing Persons. </w:t>
      </w:r>
    </w:p>
    <w:p>
      <w:pPr>
        <w:pStyle w:val="TextBody"/>
        <w:bidi w:val="0"/>
        <w:spacing w:before="240" w:after="0"/>
        <w:jc w:val="left"/>
        <w:rPr/>
      </w:pPr>
      <w:r>
        <w:rPr/>
        <w:t>“</w:t>
      </w:r>
      <w:r>
        <w:rPr>
          <w:rFonts w:ascii="Times New Roman" w:hAnsi="Times New Roman"/>
          <w:b/>
          <w:sz w:val="20"/>
        </w:rPr>
        <w:t>Company Registration Expenses</w:t>
      </w:r>
      <w:r>
        <w:rPr>
          <w:rFonts w:ascii="Times New Roman" w:hAnsi="Times New Roman"/>
          <w:sz w:val="20"/>
        </w:rPr>
        <w:t xml:space="preserve">” means all fees and expenses incurred by any Issuer in connection with its obligations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or </w:t>
      </w:r>
      <w:r>
        <w:rPr>
          <w:rFonts w:ascii="Times New Roman" w:hAnsi="Times New Roman"/>
          <w:b/>
          <w:sz w:val="20"/>
        </w:rPr>
        <w:t>5</w:t>
      </w:r>
      <w:r>
        <w:rPr>
          <w:rFonts w:ascii="Times New Roman" w:hAnsi="Times New Roman"/>
          <w:sz w:val="20"/>
        </w:rPr>
        <w:t xml:space="preserve"> (regardless of whether the Resale Registration Statement is filed or becomes effective under the Securities Act), including the following, to the extent applicable: (a) registration, qualification or filing fees of the SEC, the Financial Industry Regulatory Authority, Inc. or state securities or “blue sky” regulatory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agencies; (b) fees incurred in connection with the listing, or the maintaining of any listing, of any Registrable Securities on any national securities exchange or inter-dealer quotation system; (c) the fees and disbursements of counsel for any Issuer or of any independent accounting firm for any Issuer; and (d) the reasonable and documented fees and out-of-pocket expenses, up to an aggregate of $10,000, of a single Designated Holder Counsel incurred in connection with the Resale Registration Statement;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Company Registration Expenses will not include (i) any fees, expenses or disbursements of any counsel for any Holder or for any Initial Purchaser, except fees and expenses of any such counsel that constitute Company Registration Expenses pursuant to </w:t>
      </w:r>
      <w:r>
        <w:rPr>
          <w:rFonts w:ascii="Times New Roman" w:hAnsi="Times New Roman"/>
          <w:b/>
          <w:sz w:val="20"/>
        </w:rPr>
        <w:t>clause (d)</w:t>
      </w:r>
      <w:r>
        <w:rPr>
          <w:rFonts w:ascii="Times New Roman" w:hAnsi="Times New Roman"/>
          <w:sz w:val="20"/>
        </w:rPr>
        <w:t xml:space="preserve"> above; or (ii) any underwriting, brokerage or similar fees or discounts or selling commissions, or any stock transfer taxes (or any other taxes borne by any Holder), incurred in connection with the sale or other transfer of any Registrable Securities.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The Depository Trust Company or any other entity acting as securities depositary for any of the Registrable Securities. </w:t>
      </w:r>
    </w:p>
    <w:p>
      <w:pPr>
        <w:pStyle w:val="TextBody"/>
        <w:bidi w:val="0"/>
        <w:spacing w:before="240" w:after="0"/>
        <w:jc w:val="left"/>
        <w:rPr/>
      </w:pPr>
      <w:r>
        <w:rPr/>
        <w:t>“</w:t>
      </w:r>
      <w:r>
        <w:rPr>
          <w:rFonts w:ascii="Times New Roman" w:hAnsi="Times New Roman"/>
          <w:b/>
          <w:sz w:val="20"/>
        </w:rPr>
        <w:t>Designated Holder Counsel</w:t>
      </w:r>
      <w:r>
        <w:rPr>
          <w:rFonts w:ascii="Times New Roman" w:hAnsi="Times New Roman"/>
          <w:sz w:val="20"/>
        </w:rPr>
        <w:t xml:space="preserve">” means a single counsel, if any, that is designated and appointed, by one or more Notice Holders whose aggregate As-Exchanged Note Ownership Percentage exceeds fifty percent (50%) (with written notice of such designation and appointment to the Company by such Notice Holders), to serve as counsel for all Notice Holders in respect of the Resale Registration Statement.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w:t>
      </w:r>
      <w:r>
        <w:rPr>
          <w:rFonts w:ascii="Times New Roman" w:hAnsi="Times New Roman"/>
          <w:b/>
          <w:sz w:val="20"/>
        </w:rPr>
        <w:t>Exchanged</w:t>
      </w:r>
      <w:r>
        <w:rPr>
          <w:rFonts w:ascii="Times New Roman" w:hAnsi="Times New Roman"/>
          <w:sz w:val="20"/>
        </w:rPr>
        <w:t>,” “</w:t>
      </w:r>
      <w:r>
        <w:rPr>
          <w:rFonts w:ascii="Times New Roman" w:hAnsi="Times New Roman"/>
          <w:b/>
          <w:sz w:val="20"/>
        </w:rPr>
        <w:t>Exchanging</w:t>
      </w:r>
      <w:r>
        <w:rPr>
          <w:rFonts w:ascii="Times New Roman" w:hAnsi="Times New Roman"/>
          <w:sz w:val="20"/>
        </w:rPr>
        <w:t>” and “</w:t>
      </w:r>
      <w:r>
        <w:rPr>
          <w:rFonts w:ascii="Times New Roman" w:hAnsi="Times New Roman"/>
          <w:b/>
          <w:sz w:val="20"/>
        </w:rPr>
        <w:t>Exchangeable</w:t>
      </w:r>
      <w:r>
        <w:rPr>
          <w:rFonts w:ascii="Times New Roman" w:hAnsi="Times New Roman"/>
          <w:sz w:val="20"/>
        </w:rPr>
        <w:t xml:space="preserve">” have the meanings set forth in the Indenture.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SEC thereunder. </w:t>
      </w:r>
    </w:p>
    <w:p>
      <w:pPr>
        <w:pStyle w:val="TextBody"/>
        <w:bidi w:val="0"/>
        <w:spacing w:before="240" w:after="0"/>
        <w:jc w:val="left"/>
        <w:rPr/>
      </w:pPr>
      <w:r>
        <w:rPr/>
        <w:t>“</w:t>
      </w:r>
      <w:r>
        <w:rPr>
          <w:rFonts w:ascii="Times New Roman" w:hAnsi="Times New Roman"/>
          <w:b/>
          <w:sz w:val="20"/>
        </w:rPr>
        <w:t>Exchange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Form S-3</w:t>
      </w:r>
      <w:r>
        <w:rPr>
          <w:rFonts w:ascii="Times New Roman" w:hAnsi="Times New Roman"/>
          <w:sz w:val="20"/>
        </w:rPr>
        <w:t xml:space="preserve">” means Form S-3 under the Securities Act, or any successor form thereto. </w:t>
      </w:r>
    </w:p>
    <w:p>
      <w:pPr>
        <w:pStyle w:val="TextBody"/>
        <w:bidi w:val="0"/>
        <w:spacing w:before="240" w:after="0"/>
        <w:jc w:val="left"/>
        <w:rPr/>
      </w:pPr>
      <w:r>
        <w:rPr/>
        <w:t>“</w:t>
      </w:r>
      <w:r>
        <w:rPr>
          <w:rFonts w:ascii="Times New Roman" w:hAnsi="Times New Roman"/>
          <w:b/>
          <w:sz w:val="20"/>
        </w:rPr>
        <w:t>Form S-3ASR</w:t>
      </w:r>
      <w:r>
        <w:rPr>
          <w:rFonts w:ascii="Times New Roman" w:hAnsi="Times New Roman"/>
          <w:sz w:val="20"/>
        </w:rPr>
        <w:t xml:space="preserve">” means an automatically effective Form S-3 Registration Statement.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subject to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any Person that beneficially owns any Registrable Securities. For these purposes, a Person will be deemed to beneficially own any Registrable Securities deliverable upon exchange of any other securities beneficially owned by such Person. </w:t>
      </w:r>
    </w:p>
    <w:p>
      <w:pPr>
        <w:pStyle w:val="TextBody"/>
        <w:bidi w:val="0"/>
        <w:spacing w:before="240" w:after="0"/>
        <w:jc w:val="left"/>
        <w:rPr/>
      </w:pPr>
      <w:r>
        <w:rPr/>
        <w:t>“</w:t>
      </w:r>
      <w:r>
        <w:rPr>
          <w:rFonts w:ascii="Times New Roman" w:hAnsi="Times New Roman"/>
          <w:b/>
          <w:sz w:val="20"/>
        </w:rPr>
        <w:t>Holder Indemnified Person</w:t>
      </w:r>
      <w:r>
        <w:rPr>
          <w:rFonts w:ascii="Times New Roman" w:hAnsi="Times New Roman"/>
          <w:sz w:val="20"/>
        </w:rPr>
        <w:t xml:space="preserve">” mean each of the following Persons: (a) any Notice Holder; (b) any Affiliate of any Notice Holder; (c) any partner, director, officer, member, stockholder, employee, advisor or other representative of any Notice Holder or its Affiliates; (d) each Person, if any, who controls any Notice Holder within the meaning of Section 15 of the Securities Act or Section 20 of the Exchange Act; and (e) each successor of the foregoing Persons. </w:t>
      </w:r>
    </w:p>
    <w:p>
      <w:pPr>
        <w:pStyle w:val="TextBody"/>
        <w:bidi w:val="0"/>
        <w:spacing w:before="240" w:after="0"/>
        <w:jc w:val="left"/>
        <w:rPr/>
      </w:pPr>
      <w:r>
        <w:rPr/>
        <w:t>“</w:t>
      </w:r>
      <w:r>
        <w:rPr>
          <w:rFonts w:ascii="Times New Roman" w:hAnsi="Times New Roman"/>
          <w:b/>
          <w:sz w:val="20"/>
        </w:rPr>
        <w:t>Holder Information</w:t>
      </w:r>
      <w:r>
        <w:rPr>
          <w:rFonts w:ascii="Times New Roman" w:hAnsi="Times New Roman"/>
          <w:sz w:val="20"/>
        </w:rPr>
        <w:t xml:space="preserve">” means, with respect to any Holder, any information furnished in writing by or on behalf of such Holder to the Company expressly for use in any Resale Registration Statement (including information in any Notice and Questionnaire delivered by such Holder to the Company). </w:t>
      </w:r>
    </w:p>
    <w:p>
      <w:pPr>
        <w:pStyle w:val="TextBody"/>
        <w:bidi w:val="0"/>
        <w:spacing w:before="240" w:after="0"/>
        <w:jc w:val="left"/>
        <w:rPr/>
      </w:pPr>
      <w:r>
        <w:rPr/>
        <w:t>“</w:t>
      </w:r>
      <w:r>
        <w:rPr>
          <w:rFonts w:ascii="Times New Roman" w:hAnsi="Times New Roman"/>
          <w:b/>
          <w:sz w:val="20"/>
        </w:rPr>
        <w:t>Indemnified Person</w:t>
      </w:r>
      <w:r>
        <w:rPr>
          <w:rFonts w:ascii="Times New Roman" w:hAnsi="Times New Roman"/>
          <w:sz w:val="20"/>
        </w:rPr>
        <w:t xml:space="preserve">” means any Company Indemnified Person or Holder Indemnified Person. </w:t>
      </w:r>
    </w:p>
    <w:p>
      <w:pPr>
        <w:pStyle w:val="TextBody"/>
        <w:bidi w:val="0"/>
        <w:spacing w:before="240" w:after="0"/>
        <w:jc w:val="left"/>
        <w:rPr/>
      </w:pPr>
      <w:r>
        <w:rPr/>
        <w:t>“</w:t>
      </w:r>
      <w:r>
        <w:rPr>
          <w:rFonts w:ascii="Times New Roman" w:hAnsi="Times New Roman"/>
          <w:b/>
          <w:sz w:val="20"/>
        </w:rPr>
        <w:t>Indemnifying Party</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9(c)(i)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that certain indenture relating to the 2.25% Exchangeable Senior Notes due 2031, dated as of August 11, 2026, among the Operating Partnership, the Company and the Trustee, as such indenture may be amended from time to time.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Initial Notes</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Initial Notice and Questionnaire Deadline Date</w:t>
      </w:r>
      <w:r>
        <w:rPr>
          <w:rFonts w:ascii="Times New Roman" w:hAnsi="Times New Roman"/>
          <w:sz w:val="20"/>
        </w:rPr>
        <w:t xml:space="preserve">” means the date that is 10 (ten) calendar days before the first date that the initial Resale Registration Statement becomes effective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Initial Purchasers</w:t>
      </w:r>
      <w:r>
        <w:rPr>
          <w:rFonts w:ascii="Times New Roman" w:hAnsi="Times New Roman"/>
          <w:sz w:val="20"/>
        </w:rPr>
        <w:t xml:space="preserve">” means J.P. Morgan Securities LLC, Morgan Stanley &amp; Co. LLC, Deutsche Bank Securities Inc., Goldman Sachs &amp; Co. LLC, BMO Capital Markets Corp., TD Securities (USA) LLC, Scotia Capital (USA) Inc. and KeyBanc Capital Markets Inc. </w:t>
      </w:r>
    </w:p>
    <w:p>
      <w:pPr>
        <w:pStyle w:val="TextBody"/>
        <w:bidi w:val="0"/>
        <w:spacing w:before="240" w:after="0"/>
        <w:jc w:val="left"/>
        <w:rPr/>
      </w:pPr>
      <w:r>
        <w:rPr/>
        <w:t>“</w:t>
      </w:r>
      <w:r>
        <w:rPr>
          <w:rFonts w:ascii="Times New Roman" w:hAnsi="Times New Roman"/>
          <w:b/>
          <w:sz w:val="20"/>
        </w:rPr>
        <w:t>Loss</w:t>
      </w:r>
      <w:r>
        <w:rPr>
          <w:rFonts w:ascii="Times New Roman" w:hAnsi="Times New Roman"/>
          <w:sz w:val="20"/>
        </w:rPr>
        <w:t xml:space="preserve">” means any loss, damage, expense, liability or claim (including reasonable costs of investigating or defending, and reasonable attorney’s fees and disbursements in connection with, the same). </w:t>
      </w:r>
    </w:p>
    <w:p>
      <w:pPr>
        <w:pStyle w:val="TextBody"/>
        <w:bidi w:val="0"/>
        <w:spacing w:before="240" w:after="0"/>
        <w:jc w:val="left"/>
        <w:rPr/>
      </w:pPr>
      <w:r>
        <w:rPr/>
        <w:t>“</w:t>
      </w:r>
      <w:r>
        <w:rPr>
          <w:rFonts w:ascii="Times New Roman" w:hAnsi="Times New Roman"/>
          <w:b/>
          <w:sz w:val="20"/>
        </w:rPr>
        <w:t>Material Disclosure Defect</w:t>
      </w:r>
      <w:r>
        <w:rPr>
          <w:rFonts w:ascii="Times New Roman" w:hAnsi="Times New Roman"/>
          <w:sz w:val="20"/>
        </w:rPr>
        <w:t xml:space="preserve">” has the following meaning with respect to any document: </w:t>
      </w:r>
    </w:p>
    <w:p>
      <w:pPr>
        <w:pStyle w:val="TextBody"/>
        <w:bidi w:val="0"/>
        <w:spacing w:before="120" w:after="0"/>
        <w:jc w:val="left"/>
        <w:rPr>
          <w:rFonts w:ascii="Times New Roman" w:hAnsi="Times New Roman"/>
          <w:sz w:val="20"/>
        </w:rPr>
      </w:pPr>
      <w:r>
        <w:rPr>
          <w:rFonts w:ascii="Times New Roman" w:hAnsi="Times New Roman"/>
          <w:sz w:val="20"/>
        </w:rPr>
        <w:t xml:space="preserve">(a) if such document is of the type as to which the provisions of Section 11 of the Securities Act are applicable, that such document contains an untrue statement of a material fact or omits to state a material fact required to be stated therein or necessary to make the statements therein not misleading; and </w:t>
      </w:r>
    </w:p>
    <w:p>
      <w:pPr>
        <w:pStyle w:val="TextBody"/>
        <w:bidi w:val="0"/>
        <w:spacing w:before="240" w:after="0"/>
        <w:jc w:val="left"/>
        <w:rPr>
          <w:rFonts w:ascii="Times New Roman" w:hAnsi="Times New Roman"/>
          <w:sz w:val="20"/>
        </w:rPr>
      </w:pPr>
      <w:r>
        <w:rPr>
          <w:rFonts w:ascii="Times New Roman" w:hAnsi="Times New Roman"/>
          <w:sz w:val="20"/>
        </w:rPr>
        <w:t xml:space="preserve">(b) in all other cases, that such document includes an untrue statement of a material fact or omits to state a material fact necessary in order to make the statements therein, in the light of the circumstances under which they were made, not misleading.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Maturity Premium</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Notice and Questionnaire</w:t>
      </w:r>
      <w:r>
        <w:rPr>
          <w:rFonts w:ascii="Times New Roman" w:hAnsi="Times New Roman"/>
          <w:sz w:val="20"/>
        </w:rPr>
        <w:t xml:space="preserve">” means a duly completed and executed Notice and Questionnaire substantially in the form set forth in </w:t>
      </w:r>
      <w:r>
        <w:rPr>
          <w:rFonts w:ascii="Times New Roman" w:hAnsi="Times New Roman"/>
          <w:b/>
          <w:sz w:val="20"/>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Notice Holder</w:t>
      </w:r>
      <w:r>
        <w:rPr>
          <w:rFonts w:ascii="Times New Roman" w:hAnsi="Times New Roman"/>
          <w:sz w:val="20"/>
        </w:rPr>
        <w:t xml:space="preserve">” means, subject to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a Holder that has delivered a Notice and Questionnaire to the Company. </w:t>
      </w:r>
    </w:p>
    <w:p>
      <w:pPr>
        <w:pStyle w:val="TextBody"/>
        <w:bidi w:val="0"/>
        <w:spacing w:before="240" w:after="0"/>
        <w:jc w:val="left"/>
        <w:rPr/>
      </w:pPr>
      <w:r>
        <w:rPr/>
        <w:t>“</w:t>
      </w:r>
      <w:r>
        <w:rPr>
          <w:rFonts w:ascii="Times New Roman" w:hAnsi="Times New Roman"/>
          <w:b/>
          <w:sz w:val="20"/>
        </w:rPr>
        <w:t>Operating Partnership</w:t>
      </w:r>
      <w:r>
        <w:rPr>
          <w:rFonts w:ascii="Times New Roman" w:hAnsi="Times New Roman"/>
          <w:sz w:val="20"/>
        </w:rPr>
        <w:t xml:space="preserve">” means the Person named as such in the first paragraph of this Agreement. </w:t>
      </w:r>
    </w:p>
    <w:p>
      <w:pPr>
        <w:pStyle w:val="TextBody"/>
        <w:bidi w:val="0"/>
        <w:spacing w:before="240" w:after="0"/>
        <w:jc w:val="left"/>
        <w:rPr/>
      </w:pPr>
      <w:r>
        <w:rPr/>
        <w:t>“</w:t>
      </w:r>
      <w:r>
        <w:rPr>
          <w:rFonts w:ascii="Times New Roman" w:hAnsi="Times New Roman"/>
          <w:b/>
          <w:sz w:val="20"/>
        </w:rPr>
        <w:t>Parent Guarantor Business Combination Event</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Permitted Blackout Period Extension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Agreement. </w:t>
      </w:r>
    </w:p>
    <w:p>
      <w:pPr>
        <w:pStyle w:val="TextBody"/>
        <w:bidi w:val="0"/>
        <w:spacing w:before="240" w:after="0"/>
        <w:jc w:val="left"/>
        <w:rPr/>
      </w:pPr>
      <w:r>
        <w:rPr/>
        <w:t>“</w:t>
      </w:r>
      <w:r>
        <w:rPr>
          <w:rFonts w:ascii="Times New Roman" w:hAnsi="Times New Roman"/>
          <w:b/>
          <w:sz w:val="20"/>
        </w:rPr>
        <w:t>Proceeding</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9(c)(i)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Purchase Agreement, dated as of August 6, 2026, by and among the Operating Partnership, the Company (solely for purposes of Sections 1(d), 1(j), 1(k), 1(l), 1(o), 1(s), 4(k), 4(n) and 5(k) of the Purchase Agreement) and J.P. Morgan Securities LLC and Morgan Stanley &amp; Co. LLC, as representatives of the several Initial Purchasers.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Redemption Notice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Registrable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the Common Stock or other securities delivered or deliverable (including following a Common Stock Change Event), if any, upon Exchange of the Initial Notes;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securities issued, distributed or otherwise delivered with respect to any security referred to in </w:t>
      </w:r>
      <w:r>
        <w:rPr>
          <w:rFonts w:ascii="Times New Roman" w:hAnsi="Times New Roman"/>
          <w:b/>
          <w:sz w:val="20"/>
        </w:rPr>
        <w:t>clause (a)</w:t>
      </w:r>
      <w:r>
        <w:rPr>
          <w:rFonts w:ascii="Times New Roman" w:hAnsi="Times New Roman"/>
          <w:sz w:val="20"/>
        </w:rPr>
        <w:t xml:space="preserve"> above upon any stock dividend, combination or split or other similar event or in connection with a Common Stock Change Event;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security described in </w:t>
      </w:r>
      <w:r>
        <w:rPr>
          <w:rFonts w:ascii="Times New Roman" w:hAnsi="Times New Roman"/>
          <w:b/>
          <w:sz w:val="20"/>
        </w:rPr>
        <w:t>clause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above will cease to be a Registrable Security upon the earliest to occur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(i) such security (x) would be eligible to be offered, sold or otherwise transferred pursuant to Rule 144 if held by a Person that is not an Affiliate of the issuer of such security, and that has not been an Affiliate of such issuer during the immediately preceding three (3) months, without any requirements as to volume, manner of sale, availability of current public information (whether or not then satisfied) or notice under the Securities Act; (y) is not identified by a “restricted” CUSIP or ISIN number; and (z) is not represented by any certificate that bears a Restricted Security Legend; </w:t>
      </w:r>
    </w:p>
    <w:p>
      <w:pPr>
        <w:pStyle w:val="TextBody"/>
        <w:bidi w:val="0"/>
        <w:spacing w:before="240" w:after="0"/>
        <w:jc w:val="left"/>
        <w:rPr>
          <w:rFonts w:ascii="Times New Roman" w:hAnsi="Times New Roman"/>
          <w:sz w:val="20"/>
        </w:rPr>
      </w:pPr>
      <w:r>
        <w:rPr>
          <w:rFonts w:ascii="Times New Roman" w:hAnsi="Times New Roman"/>
          <w:sz w:val="20"/>
        </w:rPr>
        <w:t xml:space="preserve">(ii) such security ceases to be outstanding (or deliverable upon exchange of any outstanding note); and </w:t>
      </w:r>
    </w:p>
    <w:p>
      <w:pPr>
        <w:pStyle w:val="TextBody"/>
        <w:bidi w:val="0"/>
        <w:spacing w:before="240" w:after="0"/>
        <w:jc w:val="left"/>
        <w:rPr>
          <w:rFonts w:ascii="Times New Roman" w:hAnsi="Times New Roman"/>
          <w:sz w:val="20"/>
        </w:rPr>
      </w:pPr>
      <w:r>
        <w:rPr>
          <w:rFonts w:ascii="Times New Roman" w:hAnsi="Times New Roman"/>
          <w:sz w:val="20"/>
        </w:rPr>
        <w:t xml:space="preserve">(iii) such security (x) is sold or otherwise transferred in a transaction (including, for the avoidance of doubt, a transaction that is registered under the Securities Act) following which such security ceases to be a “restricted security” (as defined in Rule 144); (y) is not identified by a “restricted” CUSIP or ISIN number; and (z) is not represented by any certificate that bears a Restricted Security Legend.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references to Registrable Securities consisting of Common Stock “deliverable” upon exchange of any Initial Note will include shares of Common Stock potentially deliverable thereupon at the then-applicable exchange rate (that is, a number of shares of the Company’s Common Stock equal to the product of the principal amount (expressed in thousands) of such Initial Note and the then-applicable exchange rate). </w:t>
      </w:r>
    </w:p>
    <w:p>
      <w:pPr>
        <w:pStyle w:val="TextBody"/>
        <w:bidi w:val="0"/>
        <w:spacing w:before="240" w:after="0"/>
        <w:jc w:val="left"/>
        <w:rPr/>
      </w:pPr>
      <w:r>
        <w:rPr/>
        <w:t>“</w:t>
      </w:r>
      <w:r>
        <w:rPr>
          <w:rFonts w:ascii="Times New Roman" w:hAnsi="Times New Roman"/>
          <w:b/>
          <w:sz w:val="20"/>
        </w:rPr>
        <w:t>Registration Default Event</w:t>
      </w:r>
      <w:r>
        <w:rPr>
          <w:rFonts w:ascii="Times New Roman" w:hAnsi="Times New Roman"/>
          <w:sz w:val="20"/>
        </w:rPr>
        <w:t xml:space="preserve">” means any event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7(a)(i)</w:t>
      </w:r>
      <w:r>
        <w:rPr>
          <w:rFonts w:ascii="Times New Roman" w:hAnsi="Times New Roman"/>
          <w:sz w:val="20"/>
        </w:rPr>
        <w:t xml:space="preserve"> that gives rise to the accrual of any Additional Interest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Resale Registration Statement</w:t>
      </w:r>
      <w:r>
        <w:rPr>
          <w:rFonts w:ascii="Times New Roman" w:hAnsi="Times New Roman"/>
          <w:sz w:val="20"/>
        </w:rPr>
        <w:t>” shall mean a registration statement on Form S-3, including a registration statement on Form S-3ASR, of the Company pursuant to the provisions of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hereof which covers some or all of the Common Stock, including by “shelf takedown” using a prospectus supplement an existing Form S-3 or S-3ASR or otherwise, on an appropriate form under Rule 415 under the Securities Act, or any similar rule that may be adopted by the SEC, amendments and supplements to such registration statement, including post-effective amendments, in each case including the prospectus contained therein, all exhibits thereto and all material incorporated by reference therein. For the avoidance of doubt, if at any time from the date hereof through the end of the Resale Registration Statement Effectiveness Period, the Company is not eligible to use Form S-3 or Form S-3ASR or any successor form thereto, all references to Resale Registration Statement in this Agreement shall be read to include a registration statement on Form S-11, or if the Company is no longer a real estate investment trust at such time, Form S-1, or any successor form thereto. </w:t>
      </w:r>
    </w:p>
    <w:p>
      <w:pPr>
        <w:pStyle w:val="TextBody"/>
        <w:bidi w:val="0"/>
        <w:spacing w:before="240" w:after="0"/>
        <w:jc w:val="left"/>
        <w:rPr/>
      </w:pPr>
      <w:r>
        <w:rPr/>
        <w:t>“</w:t>
      </w:r>
      <w:r>
        <w:rPr>
          <w:rFonts w:ascii="Times New Roman" w:hAnsi="Times New Roman"/>
          <w:b/>
          <w:sz w:val="20"/>
        </w:rPr>
        <w:t>Resale Registration Statement Effectiveness Deadline Date</w:t>
      </w:r>
      <w:r>
        <w:rPr>
          <w:rFonts w:ascii="Times New Roman" w:hAnsi="Times New Roman"/>
          <w:sz w:val="20"/>
        </w:rPr>
        <w:t xml:space="preserve">” means the date that is one hundred and eighty (180) days after the Issue Date. Notwithstanding anything to the contrary in the preceding sentence, if the Company (whether directly or indirectly through one or more of its subsidiaries) has completed a Significant Acquisition and has not filed the financial statements required by Regulation S-X under the Exchange Act for such Significant Acquisition with the SEC by the date that would be the Resale Registration Statement Effectiveness Deadline Date pursuant to the preceding sentence, then the Resale Registration Statement Effectiveness Deadline Date will instead be the earlier of (a) the two hundred and tenth (210th) day after the Issue Date; and (b) the thirtieth (30th) calendar day after the date such financial statements are first filed (or, if earlier, are required to be filed) with the SEC. </w:t>
      </w:r>
    </w:p>
    <w:p>
      <w:pPr>
        <w:pStyle w:val="TextBody"/>
        <w:bidi w:val="0"/>
        <w:spacing w:before="240" w:after="0"/>
        <w:jc w:val="left"/>
        <w:rPr/>
      </w:pPr>
      <w:r>
        <w:rPr/>
        <w:t>“</w:t>
      </w:r>
      <w:r>
        <w:rPr>
          <w:rFonts w:ascii="Times New Roman" w:hAnsi="Times New Roman"/>
          <w:b/>
          <w:sz w:val="20"/>
        </w:rPr>
        <w:t>Resale Registration Statement Effectiveness Period</w:t>
      </w:r>
      <w:r>
        <w:rPr>
          <w:rFonts w:ascii="Times New Roman" w:hAnsi="Times New Roman"/>
          <w:sz w:val="20"/>
        </w:rPr>
        <w:t xml:space="preserve">” means the period that (a) begins on, and includes, the earlier of (i) the Resale Registration Statement Effectiveness Deadline Date; and (ii) the first date the Resale Registration Statement is effective under the Securities Act; and (b) ends on, and includes, the earlier of (i) the date that is forty (40) Trading Days after the earlier of (x) the Maturity Date and (y) the first date when no Initial Notes are outstanding and (ii) the first date when no Registrable Securities are outstanding (or deliverable upon Exchange of any note); </w:t>
      </w:r>
      <w:r>
        <w:rPr>
          <w:rFonts w:ascii="Times New Roman" w:hAnsi="Times New Roman"/>
          <w:i/>
          <w:sz w:val="20"/>
        </w:rPr>
        <w:t>provided, however</w:t>
      </w:r>
      <w:r>
        <w:rPr>
          <w:rFonts w:ascii="Times New Roman" w:hAnsi="Times New Roman"/>
          <w:sz w:val="20"/>
        </w:rPr>
        <w:t xml:space="preserve">, that if, during the period from the Maturity Date (or, if earlier, the first date when no Initial Notes are outstanding) to the date referred to in </w:t>
      </w:r>
      <w:r>
        <w:rPr>
          <w:rFonts w:ascii="Times New Roman" w:hAnsi="Times New Roman"/>
          <w:b/>
          <w:sz w:val="20"/>
        </w:rPr>
        <w:t>clause (b)(i)</w:t>
      </w:r>
      <w:r>
        <w:rPr>
          <w:rFonts w:ascii="Times New Roman" w:hAnsi="Times New Roman"/>
          <w:sz w:val="20"/>
        </w:rPr>
        <w:t xml:space="preserve">, the Resale Registration Statement fails to be effective or usable for the resale or other transfer of Registrable Securities under the Securities Act, then the last date referred to in </w:t>
      </w:r>
      <w:r>
        <w:rPr>
          <w:rFonts w:ascii="Times New Roman" w:hAnsi="Times New Roman"/>
          <w:b/>
          <w:sz w:val="20"/>
        </w:rPr>
        <w:t>clause (b)(i)</w:t>
      </w:r>
      <w:r>
        <w:rPr>
          <w:rFonts w:ascii="Times New Roman" w:hAnsi="Times New Roman"/>
          <w:sz w:val="20"/>
        </w:rPr>
        <w:t xml:space="preserve"> will be extended by the total number of Trading Days on which such failure has occurred during such period. </w:t>
      </w:r>
    </w:p>
    <w:p>
      <w:pPr>
        <w:pStyle w:val="TextBody"/>
        <w:bidi w:val="0"/>
        <w:spacing w:before="240" w:after="0"/>
        <w:jc w:val="left"/>
        <w:rPr/>
      </w:pPr>
      <w:r>
        <w:rPr/>
        <w:t>“</w:t>
      </w:r>
      <w:r>
        <w:rPr>
          <w:rFonts w:ascii="Times New Roman" w:hAnsi="Times New Roman"/>
          <w:b/>
          <w:sz w:val="20"/>
        </w:rPr>
        <w:t>Restricted Security Legend</w:t>
      </w:r>
      <w:r>
        <w:rPr>
          <w:rFonts w:ascii="Times New Roman" w:hAnsi="Times New Roman"/>
          <w:sz w:val="20"/>
        </w:rPr>
        <w:t xml:space="preserve">” means, with respect to any security, a legend substantially to the effect that the offer and sale of such security have not been registered under the Securities Act and that such security cannot be sold or otherwise transferred except pursuant to a transaction that is registered under the Securities Act or that is exempt from, or not subject to,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Rule 144</w:t>
      </w:r>
      <w:r>
        <w:rPr>
          <w:rFonts w:ascii="Times New Roman" w:hAnsi="Times New Roman"/>
          <w:sz w:val="20"/>
        </w:rPr>
        <w:t xml:space="preserve">” means Rule 144 under the Securities Act (or any successor rule thereto). </w:t>
      </w:r>
    </w:p>
    <w:p>
      <w:pPr>
        <w:pStyle w:val="TextBody"/>
        <w:bidi w:val="0"/>
        <w:spacing w:before="240" w:after="0"/>
        <w:jc w:val="left"/>
        <w:rPr/>
      </w:pPr>
      <w:r>
        <w:rPr/>
        <w:t>“</w:t>
      </w:r>
      <w:r>
        <w:rPr>
          <w:rFonts w:ascii="Times New Roman" w:hAnsi="Times New Roman"/>
          <w:b/>
          <w:sz w:val="20"/>
        </w:rPr>
        <w:t>Rule 415</w:t>
      </w:r>
      <w:r>
        <w:rPr>
          <w:rFonts w:ascii="Times New Roman" w:hAnsi="Times New Roman"/>
          <w:sz w:val="20"/>
        </w:rPr>
        <w:t xml:space="preserve">” means Rule 415 under the Securities Act (or any successor rule thereto).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SEC thereunder. </w:t>
      </w:r>
    </w:p>
    <w:p>
      <w:pPr>
        <w:pStyle w:val="TextBody"/>
        <w:bidi w:val="0"/>
        <w:spacing w:before="240" w:after="0"/>
        <w:jc w:val="left"/>
        <w:rPr/>
      </w:pPr>
      <w:r>
        <w:rPr/>
        <w:t>“</w:t>
      </w:r>
      <w:r>
        <w:rPr>
          <w:rFonts w:ascii="Times New Roman" w:hAnsi="Times New Roman"/>
          <w:b/>
          <w:sz w:val="20"/>
        </w:rPr>
        <w:t>Significant Acquisition</w:t>
      </w:r>
      <w:r>
        <w:rPr>
          <w:rFonts w:ascii="Times New Roman" w:hAnsi="Times New Roman"/>
          <w:sz w:val="20"/>
        </w:rPr>
        <w:t xml:space="preserve">” means the acquisition by the Company (whether directly or indirectly through one or more of its subsidiaries) of a business or Person, which acquisition requires the filing, with the SEC, of financial statements of such business or Person pursuant to Regulation S-X under the Exchange Act, the omission of which financial statements from the Resale Registration Statement would, in the Company’s reasonable discretion, cause the Resale Registration Statement to contain a Material Disclosure Defect. </w:t>
      </w:r>
    </w:p>
    <w:p>
      <w:pPr>
        <w:pStyle w:val="TextBody"/>
        <w:bidi w:val="0"/>
        <w:spacing w:before="240" w:after="0"/>
        <w:jc w:val="left"/>
        <w:rPr/>
      </w:pPr>
      <w:r>
        <w:rPr/>
        <w:t>“</w:t>
      </w:r>
      <w:r>
        <w:rPr>
          <w:rFonts w:ascii="Times New Roman" w:hAnsi="Times New Roman"/>
          <w:b/>
          <w:sz w:val="20"/>
        </w:rPr>
        <w:t>Special Subsequent Filing Deadline Period</w:t>
      </w:r>
      <w:r>
        <w:rPr>
          <w:rFonts w:ascii="Times New Roman" w:hAnsi="Times New Roman"/>
          <w:sz w:val="20"/>
        </w:rPr>
        <w:t xml:space="preserve">” means, with respect to any Initial Note, any of the following periods: (a) the period from, and including, the Exchange Date for the Exchange of such Initial Note to, and including, the last date by which such Exchange is required to be settled pursuant to the Indenture; and (b) the period from, and including, a Redemption Notice Date to, and including, the related Redemption Date. </w:t>
      </w:r>
    </w:p>
    <w:p>
      <w:pPr>
        <w:pStyle w:val="TextBody"/>
        <w:bidi w:val="0"/>
        <w:spacing w:before="240" w:after="0"/>
        <w:jc w:val="left"/>
        <w:rPr/>
      </w:pPr>
      <w:r>
        <w:rPr/>
        <w:t>“</w:t>
      </w:r>
      <w:r>
        <w:rPr>
          <w:rFonts w:ascii="Times New Roman" w:hAnsi="Times New Roman"/>
          <w:b/>
          <w:sz w:val="20"/>
        </w:rPr>
        <w:t>Specified Courts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Subsequent Filing Deadline Date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U.S. Bank Trust Company, National Association (or any successor thereto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RULES OF CONSTRUCTION</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(b)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“will” expresses a command; </w:t>
      </w:r>
    </w:p>
    <w:p>
      <w:pPr>
        <w:pStyle w:val="TextBody"/>
        <w:bidi w:val="0"/>
        <w:spacing w:before="240" w:after="0"/>
        <w:jc w:val="left"/>
        <w:rPr>
          <w:rFonts w:ascii="Times New Roman" w:hAnsi="Times New Roman"/>
          <w:sz w:val="20"/>
        </w:rPr>
      </w:pPr>
      <w:r>
        <w:rPr>
          <w:rFonts w:ascii="Times New Roman" w:hAnsi="Times New Roman"/>
          <w:sz w:val="20"/>
        </w:rPr>
        <w:t xml:space="preserve">(d)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 </w:t>
      </w:r>
    </w:p>
    <w:p>
      <w:pPr>
        <w:pStyle w:val="TextBody"/>
        <w:bidi w:val="0"/>
        <w:spacing w:before="240" w:after="0"/>
        <w:jc w:val="left"/>
        <w:rPr>
          <w:rFonts w:ascii="Times New Roman" w:hAnsi="Times New Roman"/>
          <w:sz w:val="20"/>
        </w:rPr>
      </w:pPr>
      <w:r>
        <w:rPr>
          <w:rFonts w:ascii="Times New Roman" w:hAnsi="Times New Roman"/>
          <w:sz w:val="20"/>
        </w:rPr>
        <w:t xml:space="preserve">(e) words in the singular include the plural and in the plural include the singular,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(f) “herein,” “hereof” and other words of similar import refer to this Agreement as a whole and not to any particular Section or other subdivision of this Agreement,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(g) references to currency mean the lawful currency of the United States of America, unless the context requires otherwise; and </w:t>
      </w:r>
    </w:p>
    <w:p>
      <w:pPr>
        <w:pStyle w:val="TextBody"/>
        <w:bidi w:val="0"/>
        <w:spacing w:before="240" w:after="0"/>
        <w:jc w:val="left"/>
        <w:rPr>
          <w:rFonts w:ascii="Times New Roman" w:hAnsi="Times New Roman"/>
          <w:sz w:val="20"/>
        </w:rPr>
      </w:pPr>
      <w:r>
        <w:rPr>
          <w:rFonts w:ascii="Times New Roman" w:hAnsi="Times New Roman"/>
          <w:sz w:val="20"/>
        </w:rPr>
        <w:t xml:space="preserve">(h) the exhibits, schedules and other attachments to this Agreement are deemed to form part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RESALE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Filing and Effectiveness of Resale Registration Statement</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the Company will (i) prepare and file a Resale Registration Statement with the SEC; and (ii) use commercially reasonable efforts to cause such Resale Registration Statement to (x) become effective under the Securities Act no later than the Resale Registration Statement Effectiveness Deadline Date; and (y) remain continuously effective, and usable for the resale or other transfer of Registrable Securities, under the Securities Act throughout the Resale Registration Statement Effectiveness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Contents of and Requirements for Resale Registration Statement</w:t>
      </w:r>
      <w:r>
        <w:rPr>
          <w:rFonts w:ascii="Times New Roman" w:hAnsi="Times New Roman"/>
          <w:sz w:val="20"/>
        </w:rPr>
        <w:t xml:space="preserve">. The Company will cause the Resale Registration Statement to satisfy the following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Registration for Continuous Resale by Holders Under Rule 415</w:t>
      </w:r>
      <w:r>
        <w:rPr>
          <w:rFonts w:ascii="Times New Roman" w:hAnsi="Times New Roman"/>
          <w:sz w:val="20"/>
        </w:rPr>
        <w:t xml:space="preserve">. The Resale Registration Statement will register, under the Securities Act, the offer and resale, from time to time on a continuous basis under Rule 415, of Registrable Securities by the Holders thereof as provided in </w:t>
      </w:r>
      <w:r>
        <w:rPr>
          <w:rFonts w:ascii="Times New Roman" w:hAnsi="Times New Roman"/>
          <w:b/>
          <w:sz w:val="20"/>
        </w:rPr>
        <w:t>Sections 3(b)(ii)</w:t>
      </w:r>
      <w:r>
        <w:rPr>
          <w:rFonts w:ascii="Times New Roman" w:hAnsi="Times New Roman"/>
          <w:sz w:val="20"/>
        </w:rPr>
        <w:t xml:space="preserve"> and </w:t>
      </w:r>
      <w:r>
        <w:rPr>
          <w:rFonts w:ascii="Times New Roman" w:hAnsi="Times New Roman"/>
          <w:b/>
          <w:sz w:val="20"/>
        </w:rPr>
        <w:t>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Selling Securityholder Information</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when it first becomes effective under the Securities Act, the Resale Registration Statement will cover resales of Registrable Securities of Notice Holders identified in all Notice and Questionnaires delivered to the Company on or before the Initial Notice and Questionnaire Deadline Date.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Plan of Distribution</w:t>
      </w:r>
      <w:r>
        <w:rPr>
          <w:rFonts w:ascii="Times New Roman" w:hAnsi="Times New Roman"/>
          <w:sz w:val="20"/>
        </w:rPr>
        <w:t xml:space="preserve">. The Resale Registration Statement will provide for a plan of distribution in customary form for resale registration statements of the type contemplated by this Agreement (including coverage for market transactions on a national securities exchange, privately negotiated transactions and transactions through broker-dealers acting as agent or principal) and, in any event, will cover transactions contemplated by Item 6 of </w:t>
      </w:r>
      <w:r>
        <w:rPr>
          <w:rFonts w:ascii="Times New Roman" w:hAnsi="Times New Roman"/>
          <w:b/>
          <w:sz w:val="20"/>
        </w:rPr>
        <w:t>Exhibit A</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any such plan of distribution include an underwritten public offering by one or more registered broker-dealers without the Company’s prior consent (which may be granted, with or without conditions, or withheld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Obligation to Make Filings to Name Additional Notice Holders</w:t>
      </w:r>
      <w:r>
        <w:rPr>
          <w:rFonts w:ascii="Times New Roman" w:hAnsi="Times New Roman"/>
          <w:sz w:val="20"/>
        </w:rPr>
        <w:t xml:space="preserve">. Subject to Section 3(e), each Holder agrees to deliver a Notice and Questionnaire and such other information as the Company may reasonably request in writing, if any, to the Company by the Initial Notice and Questionnaire Deadline Date. Subject to Section 3(e), if a Holder does not timely complete and deliver a Notice and Questionnaire or provide the other information the Company may reasonably request in writing by the Initial Notice and Questionnaire Deadline Date, that Holder will not be named as a selling securityholder in the initial prospectus and will not be permitted to sell its Registrable Securities under the initial Resale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If any Holder delivers a Notice and Questionnaire to the Company after the Initial Notice and Questionnaire Deadline Date, then,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and the other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the Company will use commercially reasonable efforts during the Resale Registration Statement Effectiveness Period to (i) make such filing(s) with the SEC (including, if applicable, (w) a post-effective amendment, (x) a prospectus supplement, (y) any document that will be incorporated by reference in the Resale Registration Statement upon its filing or (z) a new Resale Registration Statement, </w:t>
      </w:r>
      <w:r>
        <w:rPr>
          <w:rFonts w:ascii="Times New Roman" w:hAnsi="Times New Roman"/>
          <w:i/>
          <w:sz w:val="20"/>
        </w:rPr>
        <w:t>provided</w:t>
      </w:r>
      <w:r>
        <w:rPr>
          <w:rFonts w:ascii="Times New Roman" w:hAnsi="Times New Roman"/>
          <w:sz w:val="20"/>
        </w:rPr>
        <w:t xml:space="preserve"> that the Company will effect such filing by means of a prospectus supplement or a document referred to in the preceding </w:t>
      </w:r>
      <w:r>
        <w:rPr>
          <w:rFonts w:ascii="Times New Roman" w:hAnsi="Times New Roman"/>
          <w:b/>
          <w:sz w:val="20"/>
        </w:rPr>
        <w:t>clause (y)</w:t>
      </w:r>
      <w:r>
        <w:rPr>
          <w:rFonts w:ascii="Times New Roman" w:hAnsi="Times New Roman"/>
          <w:sz w:val="20"/>
        </w:rPr>
        <w:t xml:space="preserve"> instead of a post-effective amendment or a new Resale Registration Statement, if reasonably practicable and then permitted by the rules of the SEC) on or before the Subsequent Filing Deadline Date for such Notice and Questionnaire so as to enable such Holder to sell or otherwise transfer such Holder’s Registrable Securities identified in such Notice and Questionnaire pursuant to the applicable Resale Registration Statement and the related prospectus and, if applicable, prospectus supplement in accordance with the plan of distribution set forth therein; and (ii) in the case of a post-effective amendment or a new Resale Registration Statement, cause the same to become effective under the Securities Act as soon as reasonably practicable;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no such filing will be required outside the Resale Registration Statement Effectiveness Period. For these purposes, “</w:t>
      </w:r>
      <w:r>
        <w:rPr>
          <w:rFonts w:ascii="Times New Roman" w:hAnsi="Times New Roman"/>
          <w:b/>
          <w:sz w:val="20"/>
        </w:rPr>
        <w:t>Subsequent Filing Deadline Date</w:t>
      </w:r>
      <w:r>
        <w:rPr>
          <w:rFonts w:ascii="Times New Roman" w:hAnsi="Times New Roman"/>
          <w:sz w:val="20"/>
        </w:rPr>
        <w:t xml:space="preserve">” has the following meaning: </w:t>
      </w:r>
    </w:p>
    <w:p>
      <w:pPr>
        <w:pStyle w:val="TextBody"/>
        <w:bidi w:val="0"/>
        <w:spacing w:before="120" w:after="0"/>
        <w:jc w:val="left"/>
        <w:rPr>
          <w:rFonts w:ascii="Times New Roman" w:hAnsi="Times New Roman"/>
          <w:sz w:val="20"/>
        </w:rPr>
      </w:pPr>
      <w:r>
        <w:rPr>
          <w:rFonts w:ascii="Times New Roman" w:hAnsi="Times New Roman"/>
          <w:sz w:val="20"/>
        </w:rPr>
        <w:t xml:space="preserve">(i) if such Notice and Questionnaire is so delivered to the Company during a Special Subsequent Filing Deadline Period, then the Subsequent Filing Deadline Date for such Notice and Questionnaire will be the fifth (5th) Business Day after the last day of such Special Subsequent Filing Deadline Period;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all other cases, the Subsequent Filing Deadline Date for such Notice and Questionnaire will be the fifth (5th) Business Day of: (1) if such Notice and Questionnaire is so delivered on or before the twentieth (20th) calendar day of any calendar month, the calendar month following the calendar month of such delivery; or (2) if such Notice and Questionnaire is so delivered after the twentieth (20th) calendar day of any calendar month, the second (2nd) calendar month following the calendar month of such delivery;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if, in the reasonable judgment of the Company, such filing(s) must consist of, or include, a new Resale Registration Statement, then the Subsequent Filing Deadline Date for such Notice and Questionnaire will be the ninetieth (90th) calendar day after the date on which such Notice and Questionnaire is so delivered (or, if later, the date that is six (6) months after the last date, if any, on which the Company previously filed a new Resale Registration Statement pursuant to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Company (whether directly or indirectly through one or more of its subsidiaries) has completed a Significant Acquisition and has not filed the financial statements required by Regulation S-X under the Exchange Act for such Significant Acquisition with the SEC by the Subsequent Filing Deadline Date referred to above in this </w:t>
      </w:r>
      <w:r>
        <w:rPr>
          <w:rFonts w:ascii="Times New Roman" w:hAnsi="Times New Roman"/>
          <w:b/>
          <w:sz w:val="20"/>
        </w:rPr>
        <w:t>clause (x)</w:t>
      </w:r>
      <w:r>
        <w:rPr>
          <w:rFonts w:ascii="Times New Roman" w:hAnsi="Times New Roman"/>
          <w:sz w:val="20"/>
        </w:rPr>
        <w:t xml:space="preserve">, then such Subsequent Filing Deadline Date will instead be the thirtieth (30th) calendar day after the date such financial statements are first filed (or, if earlier, are required to be filed) with the SEC; and (y) in all cases, if such Notice and Questionnaire is so delivered during a Blackout Period, then the Subsequent Filing Deadline Date will be determined assuming that such delivery were instead made on the first calendar day after the termination of such Blackout Period. </w:t>
      </w:r>
    </w:p>
    <w:p>
      <w:pPr>
        <w:pStyle w:val="TextBody"/>
        <w:bidi w:val="0"/>
        <w:spacing w:before="240" w:after="0"/>
        <w:jc w:val="left"/>
        <w:rPr>
          <w:rFonts w:ascii="Times New Roman" w:hAnsi="Times New Roman"/>
          <w:sz w:val="20"/>
        </w:rPr>
      </w:pPr>
      <w:r>
        <w:rPr>
          <w:rFonts w:ascii="Times New Roman" w:hAnsi="Times New Roman"/>
          <w:sz w:val="20"/>
        </w:rPr>
        <w:t>Notwithstanding anything contained herein to the contrary, the Company shall be under no obligation to name any Holder that is not a Notice Holder as a selling securityholder in a Resale Registration Statement or related prospectus; provided, however, that any Holder that becomes a Notice Holder pursuant to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(whether or not such Holder was a Notice Holder at the effective date of such Resale Registration Statement) shall be named as a selling securityholder in such Resale Registration Statement or related prospectus in accordance with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Filing of New Resale Registration Statement; Designation of Existing Registration Statement</w:t>
      </w:r>
      <w:r>
        <w:rPr>
          <w:rFonts w:ascii="Times New Roman" w:hAnsi="Times New Roman"/>
          <w:sz w:val="20"/>
        </w:rPr>
        <w:t xml:space="preserve">. To the extent the Company deems doing so to be desirable or necessary to satisfy its obligations under this Agreement or to comply with applicable law (including, if applicable, to comply with Rule 415(a)(5)), the Company may file one or more new Resale Registration Statements or designate an existing registration statement to constitute a Resale Registration Statement for purposes of this Agreement, </w:t>
      </w:r>
      <w:r>
        <w:rPr>
          <w:rFonts w:ascii="Times New Roman" w:hAnsi="Times New Roman"/>
          <w:i/>
          <w:sz w:val="20"/>
        </w:rPr>
        <w:t>provided</w:t>
      </w:r>
      <w:r>
        <w:rPr>
          <w:rFonts w:ascii="Times New Roman" w:hAnsi="Times New Roman"/>
          <w:sz w:val="20"/>
        </w:rPr>
        <w:t xml:space="preserve"> that each such new Resale Registration Statement or existing registration statement satisfies the requirements of this Agreement. Each reference in this Agreement to the Resale Registration Statement will, if applicable, be deemed to include each such new Resale Registration Statement or existing registration statement, if any, </w:t>
      </w:r>
      <w:r>
        <w:rPr>
          <w:rFonts w:ascii="Times New Roman" w:hAnsi="Times New Roman"/>
          <w:i/>
          <w:sz w:val="20"/>
        </w:rPr>
        <w:t>mutatis mutandis</w:t>
      </w:r>
      <w:r>
        <w:rPr>
          <w:rFonts w:ascii="Times New Roman" w:hAnsi="Times New Roman"/>
          <w:sz w:val="20"/>
        </w:rPr>
        <w:t xml:space="preserve">. In addition, the first date any such existing registration statement is amended or supplemented to permit the offer and resale of Registrable Securities in the manner contemplated by this Agreement will be deemed,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5(e)</w:t>
      </w:r>
      <w:r>
        <w:rPr>
          <w:rFonts w:ascii="Times New Roman" w:hAnsi="Times New Roman"/>
          <w:sz w:val="20"/>
        </w:rPr>
        <w:t xml:space="preserve"> and any related definitions, to be the initial filing date of such existing registration statement, and the first date such amended or supplemented existing registration statement is effective under the Securities Act and permits such offers and resales will be deemed, for purposes of </w:t>
      </w:r>
      <w:r>
        <w:rPr>
          <w:rFonts w:ascii="Times New Roman" w:hAnsi="Times New Roman"/>
          <w:b/>
          <w:sz w:val="20"/>
        </w:rPr>
        <w:t>Sections 3(b)(ii)</w:t>
      </w:r>
      <w:r>
        <w:rPr>
          <w:rFonts w:ascii="Times New Roman" w:hAnsi="Times New Roman"/>
          <w:sz w:val="20"/>
        </w:rPr>
        <w:t xml:space="preserve">, </w:t>
      </w:r>
      <w:r>
        <w:rPr>
          <w:rFonts w:ascii="Times New Roman" w:hAnsi="Times New Roman"/>
          <w:b/>
          <w:sz w:val="20"/>
        </w:rPr>
        <w:t>3(c)</w:t>
      </w:r>
      <w:r>
        <w:rPr>
          <w:rFonts w:ascii="Times New Roman" w:hAnsi="Times New Roman"/>
          <w:sz w:val="20"/>
        </w:rPr>
        <w:t xml:space="preserve"> and </w:t>
      </w:r>
      <w:r>
        <w:rPr>
          <w:rFonts w:ascii="Times New Roman" w:hAnsi="Times New Roman"/>
          <w:b/>
          <w:sz w:val="20"/>
        </w:rPr>
        <w:t>5(e)</w:t>
      </w:r>
      <w:r>
        <w:rPr>
          <w:rFonts w:ascii="Times New Roman" w:hAnsi="Times New Roman"/>
          <w:sz w:val="20"/>
        </w:rPr>
        <w:t xml:space="preserve"> and any related definitions, to be the initial effective date of such existing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Where SEC Rules Do Not Require Naming Selling Securityholders</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if the applicable rules under the Securities Act, or interpretations thereof published by the staff of the SEC, are amended so as to permit Holders to resell their Registrable Securities pursuant to the Resale Registration Statement without being named as a selling securityholder therein or in any related prospectus or prospectus supplement, then the Company may, at its election, amend any applicable Resale Registration Statement to identify the Holders generically in accordance with such rules and interpretations, in which event the Company will no longer have any obligation thereafter make any filings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to the extent such filings are not necessary to permit any Holder to sell its Registrable Securities pursuant to the Resale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BLACKOUT PERIODS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Notwithstanding anything to the contrary in this Agreement,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if there occurs or exists any pending corporate development, filing with the SEC or any other event, in each case that, in the Company’s reasonable judgment, makes it appropriate to suspend the availability of the Resale Registration Statement, then: </w:t>
      </w:r>
    </w:p>
    <w:p>
      <w:pPr>
        <w:pStyle w:val="TextBody"/>
        <w:bidi w:val="0"/>
        <w:spacing w:before="240" w:after="0"/>
        <w:jc w:val="left"/>
        <w:rPr>
          <w:rFonts w:ascii="Times New Roman" w:hAnsi="Times New Roman"/>
          <w:sz w:val="20"/>
        </w:rPr>
      </w:pPr>
      <w:r>
        <w:rPr>
          <w:rFonts w:ascii="Times New Roman" w:hAnsi="Times New Roman"/>
          <w:sz w:val="20"/>
        </w:rPr>
        <w:t>(i) the Company will send notice (a “</w:t>
      </w:r>
      <w:r>
        <w:rPr>
          <w:rFonts w:ascii="Times New Roman" w:hAnsi="Times New Roman"/>
          <w:b/>
          <w:sz w:val="20"/>
        </w:rPr>
        <w:t>Blackout Commencement Notice</w:t>
      </w:r>
      <w:r>
        <w:rPr>
          <w:rFonts w:ascii="Times New Roman" w:hAnsi="Times New Roman"/>
          <w:sz w:val="20"/>
        </w:rPr>
        <w:t xml:space="preserve">”) to each Notice Holder of such suspension (without setting forth any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obligations under </w:t>
      </w:r>
      <w:r>
        <w:rPr>
          <w:rFonts w:ascii="Times New Roman" w:hAnsi="Times New Roman"/>
          <w:b/>
          <w:sz w:val="20"/>
        </w:rPr>
        <w:t>Section 3</w:t>
      </w:r>
      <w:r>
        <w:rPr>
          <w:rFonts w:ascii="Times New Roman" w:hAnsi="Times New Roman"/>
          <w:sz w:val="20"/>
        </w:rPr>
        <w:t xml:space="preserve"> or otherwise with respect to the Resale Registration Statement, including and any related obligations of the Company under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will be suspended until the related Blackout Period has terminated; </w:t>
      </w:r>
    </w:p>
    <w:p>
      <w:pPr>
        <w:pStyle w:val="TextBody"/>
        <w:bidi w:val="0"/>
        <w:spacing w:before="240" w:after="0"/>
        <w:jc w:val="left"/>
        <w:rPr>
          <w:rFonts w:ascii="Times New Roman" w:hAnsi="Times New Roman"/>
          <w:sz w:val="20"/>
        </w:rPr>
      </w:pPr>
      <w:r>
        <w:rPr>
          <w:rFonts w:ascii="Times New Roman" w:hAnsi="Times New Roman"/>
          <w:sz w:val="20"/>
        </w:rPr>
        <w:t xml:space="preserve">(iii) upon its receipt of such Blackout Commencement Notice, each Holder agrees to comply with its obligations set forth in </w:t>
      </w:r>
      <w:r>
        <w:rPr>
          <w:rFonts w:ascii="Times New Roman" w:hAnsi="Times New Roman"/>
          <w:b/>
          <w:sz w:val="20"/>
        </w:rPr>
        <w:t>Section 8(c)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(iv) upon the Company’s determination that such suspension is no longer needed or appropriate, the Company will send notice (a “</w:t>
      </w:r>
      <w:r>
        <w:rPr>
          <w:rFonts w:ascii="Times New Roman" w:hAnsi="Times New Roman"/>
          <w:b/>
          <w:sz w:val="20"/>
        </w:rPr>
        <w:t>Blackout Termination Notice</w:t>
      </w:r>
      <w:r>
        <w:rPr>
          <w:rFonts w:ascii="Times New Roman" w:hAnsi="Times New Roman"/>
          <w:sz w:val="20"/>
        </w:rPr>
        <w:t>” and, the period from, and including, the date the Company sends such Blackout Commencement Notice to, and including, the date the Company sends such Blackout Termination Notice, a “</w:t>
      </w:r>
      <w:r>
        <w:rPr>
          <w:rFonts w:ascii="Times New Roman" w:hAnsi="Times New Roman"/>
          <w:b/>
          <w:sz w:val="20"/>
        </w:rPr>
        <w:t>Blackout Period</w:t>
      </w:r>
      <w:r>
        <w:rPr>
          <w:rFonts w:ascii="Times New Roman" w:hAnsi="Times New Roman"/>
          <w:sz w:val="20"/>
        </w:rPr>
        <w:t xml:space="preserve">”) to each Notice Holder of the termination of such suspension (without setting forth any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Limitation on Blackout Periods</w:t>
      </w:r>
      <w:r>
        <w:rPr>
          <w:rFonts w:ascii="Times New Roman" w:hAnsi="Times New Roman"/>
          <w:sz w:val="20"/>
        </w:rPr>
        <w:t xml:space="preserve">.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4(a)</w:t>
      </w:r>
      <w:r>
        <w:rPr>
          <w:rFonts w:ascii="Times New Roman" w:hAnsi="Times New Roman"/>
          <w:sz w:val="20"/>
        </w:rPr>
        <w:t>, but subject to the next sentence, all Blackout Periods, together, will in no event exceed an aggregate of (i) forty five (45) calendar days (whether or not consecutive) in any ninety (90) consecutive calendar day period; or (ii) ninety (90) calendar days (whether or not consecutive) in any three hundred and sixty (360) consecutive calendar day period. Notwithstanding anything to the contrary in the preceding sentence, if, and to the extent that, the Company determines in good faith that the termination of a Blackout Period would require public disclosure relating to a proposed or pending material business transaction, and such disclosure would be reasonably likely to impede the consummation of such transaction or would otherwise be materially detrimental to the Company and its subsidiaries, taken as a whole, then the Company will have the right to extend the limitation set forth in the preceding sentence to an aggregate of (i) up to sixty (60) calendar days (whether or not consecutive) in any ninety (90) consecutive calendar day period; or (ii) up to one hundred and twenty (120) calendar days (whether or not consecutive) in any three hundred and sixty (360) consecutive calendar day period (any extension of any Blackout Period pursuant to this sentence, a “</w:t>
      </w:r>
      <w:r>
        <w:rPr>
          <w:rFonts w:ascii="Times New Roman" w:hAnsi="Times New Roman"/>
          <w:b/>
          <w:sz w:val="20"/>
        </w:rPr>
        <w:t>Permitted Blackout Period Extension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CERTAIN REGISTRATION AND RELATED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Registration Obligations and Securities Act; SEC Staff Comments</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the Company will make such filings with the SEC as may be necessary to comply with its obligations under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and to cause the Resale Registration Statement to comply with the Securities Act and other applicable law, including, if applicable, the filing of any Resale Registration Statement to comply with Section 10(a)(3) of the Securities Act and Rule 3-12 of Regulation S-X under the Securities Act, to amend the Resale Registration Statement to cause the same to be on a form for which the Company and the transactions contemplated thereby are eligible, and to address any comments received from the staff of the SEC. The Company will otherwise comply in all material respects with the Securities Act and other applicable law in the discharge of its obligations under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Opportunity for Review</w:t>
      </w:r>
      <w:r>
        <w:rPr>
          <w:rFonts w:ascii="Times New Roman" w:hAnsi="Times New Roman"/>
          <w:sz w:val="20"/>
        </w:rPr>
        <w:t xml:space="preserve">. The Company will provide the Designated Holder Counsel (if one is then designated in accordance with the definition of such term) with draft copies of the initial filing of the Resale Registration Statement, each pre-effective and post-effective amendment thereto, and each related prospectus supplement, at least five (5) Business Days before the same is filed with the SEC, and the Company will use commercially reasonable efforts to give effect to the reasonable comments received by the Company from such Designated Holder Counsel within three (3) Business Days after delivery of such draft copies to the latter;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w:t>
      </w:r>
      <w:r>
        <w:rPr>
          <w:rFonts w:ascii="Times New Roman" w:hAnsi="Times New Roman"/>
          <w:b/>
          <w:sz w:val="20"/>
        </w:rPr>
        <w:t>Section</w:t>
      </w:r>
      <w:r>
        <w:rPr>
          <w:rFonts w:ascii="Times New Roman" w:hAnsi="Times New Roman"/>
          <w:sz w:val="20"/>
        </w:rPr>
        <w:t> </w:t>
      </w:r>
      <w:r>
        <w:rPr>
          <w:rFonts w:ascii="Times New Roman" w:hAnsi="Times New Roman"/>
          <w:b/>
          <w:sz w:val="20"/>
        </w:rPr>
        <w:t>5(b)</w:t>
      </w:r>
      <w:r>
        <w:rPr>
          <w:rFonts w:ascii="Times New Roman" w:hAnsi="Times New Roman"/>
          <w:sz w:val="20"/>
        </w:rPr>
        <w:t xml:space="preserve"> will not apply to (i) any prospectus supplement that solely supplements or amends selling securityholder information and is filed pursuant to Rule 424(b)(7) under the Securities Act (or any successor rule); or (ii) any report filed by any Issuer pursuant to Section 13(a), 14 or 15(d)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Blue Sky Qualification</w:t>
      </w:r>
      <w:r>
        <w:rPr>
          <w:rFonts w:ascii="Times New Roman" w:hAnsi="Times New Roman"/>
          <w:sz w:val="20"/>
        </w:rPr>
        <w:t xml:space="preserve">. The Company will use commercially reasonable efforts to qualify the offer and sale of Registrable Securities in the manner contemplated by the Resale Registration Statement under the securities or “blue sky” laws of those jurisdictions within the United States as the Notice Holders may reasonably request and to maintain such qualification, once obtained, during the Resale Registration Statement Effectiveness Period, and the Company will use commercially reasonable efforts to cooperate with such Notice Holders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same, except, in each case, to the extent such qualification is not required in connection with such offer and sale (including as a result of preemption by federal law pursuant to Section 18 of the Securities Act (or any successor provision));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Issuer will be required to (i) qualify generally to do business in any jurisdiction where it is not then so qualified; (ii) take any action that would subject it to general service of process in suits (other than those arising out of the offer or sale of Registrable Securities or in connection with this Agreement) in any jurisdiction where it is not then so subject; or (iii) take any action that would subject it to taxation in any jurisdiction where it is not then so subject.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Prevention and Lifting of Suspension Orders</w:t>
      </w:r>
      <w:r>
        <w:rPr>
          <w:rFonts w:ascii="Times New Roman" w:hAnsi="Times New Roman"/>
          <w:sz w:val="20"/>
        </w:rPr>
        <w:t xml:space="preserve">. The Company will use commercially reasonable efforts to prevent the issuance (or, if issued, to obtain the withdrawal as promptly as practicable) of any order suspending the effectiveness of the Resale Registration Statement under the Securities Act or suspending any qualification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Notices of Certain Events</w:t>
      </w:r>
      <w:r>
        <w:rPr>
          <w:rFonts w:ascii="Times New Roman" w:hAnsi="Times New Roman"/>
          <w:sz w:val="20"/>
        </w:rPr>
        <w:t xml:space="preserve">. The Company will provide notice of the following events to each Notice Holder as soon as reasonably practicable: </w:t>
      </w:r>
    </w:p>
    <w:p>
      <w:pPr>
        <w:pStyle w:val="TextBody"/>
        <w:bidi w:val="0"/>
        <w:spacing w:before="120" w:after="0"/>
        <w:jc w:val="left"/>
        <w:rPr>
          <w:rFonts w:ascii="Times New Roman" w:hAnsi="Times New Roman"/>
          <w:sz w:val="20"/>
        </w:rPr>
      </w:pPr>
      <w:r>
        <w:rPr>
          <w:rFonts w:ascii="Times New Roman" w:hAnsi="Times New Roman"/>
          <w:sz w:val="20"/>
        </w:rPr>
        <w:t xml:space="preserve">(i) the receipt, by the Company, of any request by the staff of the SEC for any amendment or supplement to the Resale Registration Statement or any related prospectus or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(ii) the issuance, by the SEC or any other governmental authority, of any stop order suspending the effectiveness of the Resale Registration Statement or the receipt, by the Company, of any written notice that proceedings for such purpose have been initiated; </w:t>
      </w:r>
    </w:p>
    <w:p>
      <w:pPr>
        <w:pStyle w:val="TextBody"/>
        <w:bidi w:val="0"/>
        <w:spacing w:before="240" w:after="0"/>
        <w:jc w:val="left"/>
        <w:rPr>
          <w:rFonts w:ascii="Times New Roman" w:hAnsi="Times New Roman"/>
          <w:sz w:val="20"/>
        </w:rPr>
      </w:pPr>
      <w:r>
        <w:rPr>
          <w:rFonts w:ascii="Times New Roman" w:hAnsi="Times New Roman"/>
          <w:sz w:val="20"/>
        </w:rPr>
        <w:t xml:space="preserve">(iii) the receipt, by the Company, of any written notice (x) of the suspension of the qualification or exemption from qualification of the offer and sale of the Registrable Securities in any jurisdiction; or (y) that proceedings for such purpose have been initiated; </w:t>
      </w:r>
    </w:p>
    <w:p>
      <w:pPr>
        <w:pStyle w:val="TextBody"/>
        <w:bidi w:val="0"/>
        <w:spacing w:before="240" w:after="0"/>
        <w:jc w:val="left"/>
        <w:rPr>
          <w:rFonts w:ascii="Times New Roman" w:hAnsi="Times New Roman"/>
          <w:sz w:val="20"/>
        </w:rPr>
      </w:pPr>
      <w:r>
        <w:rPr>
          <w:rFonts w:ascii="Times New Roman" w:hAnsi="Times New Roman"/>
          <w:sz w:val="20"/>
        </w:rPr>
        <w:t xml:space="preserve">(iv) the withdrawal or lifting of any suspension referred to in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or </w:t>
      </w:r>
      <w:r>
        <w:rPr>
          <w:rFonts w:ascii="Times New Roman" w:hAnsi="Times New Roman"/>
          <w:b/>
          <w:sz w:val="20"/>
        </w:rPr>
        <w:t>(iii)</w:t>
      </w:r>
      <w:r>
        <w:rPr>
          <w:rFonts w:ascii="Times New Roman" w:hAnsi="Times New Roman"/>
          <w:sz w:val="20"/>
        </w:rPr>
        <w:t xml:space="preserve"> above; and </w:t>
      </w:r>
    </w:p>
    <w:p>
      <w:pPr>
        <w:pStyle w:val="TextBody"/>
        <w:bidi w:val="0"/>
        <w:spacing w:before="240" w:after="0"/>
        <w:jc w:val="left"/>
        <w:rPr>
          <w:rFonts w:ascii="Times New Roman" w:hAnsi="Times New Roman"/>
          <w:sz w:val="20"/>
        </w:rPr>
      </w:pPr>
      <w:r>
        <w:rPr>
          <w:rFonts w:ascii="Times New Roman" w:hAnsi="Times New Roman"/>
          <w:sz w:val="20"/>
        </w:rPr>
        <w:t xml:space="preserve">(v) that the Company has determined that the use of the Resale Registration Statement must be suspended (which notice may, at the Company’s discretion, state that it constitutes a Blackout Commencement Notice), including as a result of the occurrence of any event that causes any of the Resale Registration Statement to have a Material Disclosure Defect or to cease to comply with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the Company need not provide any such notice during a Blackout Period; and (y) in no event will this </w:t>
      </w:r>
      <w:r>
        <w:rPr>
          <w:rFonts w:ascii="Times New Roman" w:hAnsi="Times New Roman"/>
          <w:b/>
          <w:sz w:val="20"/>
        </w:rPr>
        <w:t>Section</w:t>
      </w:r>
      <w:r>
        <w:rPr>
          <w:rFonts w:ascii="Times New Roman" w:hAnsi="Times New Roman"/>
          <w:sz w:val="20"/>
        </w:rPr>
        <w:t> </w:t>
      </w:r>
      <w:r>
        <w:rPr>
          <w:rFonts w:ascii="Times New Roman" w:hAnsi="Times New Roman"/>
          <w:b/>
          <w:sz w:val="20"/>
        </w:rPr>
        <w:t>5(e)</w:t>
      </w:r>
      <w:r>
        <w:rPr>
          <w:rFonts w:ascii="Times New Roman" w:hAnsi="Times New Roman"/>
          <w:sz w:val="20"/>
        </w:rPr>
        <w:t xml:space="preserve"> require the Company to, and in no event will the Company, provide any information that it in good faith determines would constitute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Remediation of Material Disclosure Defects</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the Company will, as promptly as reasonably practicable after determining that any Resale Registration Statement contains a Material Disclosure Defect, prepare and file with the SEC (and, if applicable, use commercially reasonable efforts to cause the same to become effective under the Securities Act as promptly as practicable) such appropriate additional Resale Registration Statement(s) so as to cause the applicable Resale Registration Statement(s) to thereafter not contain any Material Disclosure Defect.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Listing of Registrable Securities</w:t>
      </w:r>
      <w:r>
        <w:rPr>
          <w:rFonts w:ascii="Times New Roman" w:hAnsi="Times New Roman"/>
          <w:sz w:val="20"/>
        </w:rPr>
        <w:t xml:space="preserve">. The Company will use commercially reasonable efforts to cause the Registrable Securities to be listed for trading on each U.S. national securities exchange, if any, on which securities of the same class of the Company are then so listed.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Provision of Copies of the Prospectus</w:t>
      </w:r>
      <w:r>
        <w:rPr>
          <w:rFonts w:ascii="Times New Roman" w:hAnsi="Times New Roman"/>
          <w:sz w:val="20"/>
        </w:rPr>
        <w:t xml:space="preserve">. At its expense, the Company will provide, to Notice Holders, such number of copies of the prospectus relating to the Resale Registration Statement or any related prospectus supplement or “issuer free writing prospectus” (as defined in Rule 433 under the Securities Act) as such Notice Holders may reasonably request;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need not provide any document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5(h)</w:t>
      </w:r>
      <w:r>
        <w:rPr>
          <w:rFonts w:ascii="Times New Roman" w:hAnsi="Times New Roman"/>
          <w:sz w:val="20"/>
        </w:rPr>
        <w:t xml:space="preserve"> that is publicly available on the SEC’s EDGAR system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Holders Cannot Be Identified as Underwriters Without Consent</w:t>
      </w:r>
      <w:r>
        <w:rPr>
          <w:rFonts w:ascii="Times New Roman" w:hAnsi="Times New Roman"/>
          <w:sz w:val="20"/>
        </w:rPr>
        <w:t xml:space="preserve">. The Company will not expressly name or identify any Holder as an “underwriter” in any Resale Registration Statement without such Holder’s prior written consent (including consent provided in a Notice and Questionnaire);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5(i)</w:t>
      </w:r>
      <w:r>
        <w:rPr>
          <w:rFonts w:ascii="Times New Roman" w:hAnsi="Times New Roman"/>
          <w:sz w:val="20"/>
        </w:rPr>
        <w:t xml:space="preserve"> will require the consent of any Holder in connection with the inclusion in any Resale Registration Statement of customary language, without specifically naming any Holder, that selling securityholders may in certain circumstances be considered to be underwriters under federal securities laws. If, and for so long as, any Notice Holder that is required (either upon the reasonable advice of counsel for the Company or by the staff of the SEC) to be expressly named or identified as an “underwriter” in any Resale Registration Statement does not provide its written consent to being named as such, then, notwithstanding anything to the contrary in this Agreement, the Company’s failure to include such Notice Holder or its Registrable Securities in any Resale Registration Statement will not constitute a Registration Default Event or a breach of the Company’s obligations under this Agreement or otherwise require the accrual or payment of any Additional Interest.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Earnings Statement</w:t>
      </w:r>
      <w:r>
        <w:rPr>
          <w:rFonts w:ascii="Times New Roman" w:hAnsi="Times New Roman"/>
          <w:sz w:val="20"/>
        </w:rPr>
        <w:t xml:space="preserve">. The Company will use commercially reasonable efforts to comply with its reporting obligations under Section 13(a) or 15(d) of the Exchange Act in such manner, as contemplated under Rule 158 under the Securities Act, so as to make generally available to its securityholders an earnings statement covering the twelve (12) month period referred to in Section 11(a) of the Securities Act, as it relates to the Resale Registration Statement, in the manner contemplated by, and otherwise in compliance with, such Section 11(a).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Settlement of Transfers and De-Legending</w:t>
      </w:r>
      <w:r>
        <w:rPr>
          <w:rFonts w:ascii="Times New Roman" w:hAnsi="Times New Roman"/>
          <w:sz w:val="20"/>
        </w:rPr>
        <w:t xml:space="preserve">. The Company will use commercially reasonable efforts to cause its transfer agent (or any other securities custodian for any Registrable Securities) to cooperate in connection with the settlement of any transfer of Registrable Securities pursuant to the Resale Registration Statement, including through the applicable Depositary. If any such Registrable Securities so transferred are represented by a certificate bearing a Restricted Security Legend, then the Company will, if appropriate, use commercially reasonable efforts to cause such Registrable Securities to be reissued in the form of one or more certificates not bearing such a legend.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EXPENSES</w:t>
      </w:r>
      <w:r>
        <w:rPr>
          <w:rFonts w:ascii="Times New Roman" w:hAnsi="Times New Roman"/>
          <w:sz w:val="20"/>
        </w:rPr>
        <w:t xml:space="preserve">. All Company Registration Expenses will be borne by the Issuers. All fees and expenses that are incurred by any Holder in connection with this Agreement, and that are not Company Registration Expenses, will be borne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ACCRUAL OF ADDITIONAL INTEREST DURING REGISTRATION DEFAULT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Accrual of Additional Interest During Continuance of Registration Default Event</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7(b)</w:t>
      </w:r>
      <w:r>
        <w:rPr>
          <w:rFonts w:ascii="Times New Roman" w:hAnsi="Times New Roman"/>
          <w:sz w:val="20"/>
        </w:rPr>
        <w:t xml:space="preserve">, Additional Interest will accrue,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on all of the outstanding Initial Notes for each day during the Resale Registration Statement Effectiveness Period on which the Resale Registration Statement is not on file with the SEC, effective under the Securities Act or usable for the resale or other transfer of Registrable Securities in the manner provided by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Additional Interest will accrue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7(a)(i)(1)</w:t>
      </w:r>
      <w:r>
        <w:rPr>
          <w:rFonts w:ascii="Times New Roman" w:hAnsi="Times New Roman"/>
          <w:sz w:val="20"/>
        </w:rPr>
        <w:t xml:space="preserve"> only to the extent that the number of days during the Resale Registration Statement Effectiveness Period on which the Resale Registration Statement is so not on file, effective or usable (inclusive of any Blackout Period) exceeds an aggregate of either (x) forty five (45) (or, in the case of a Permitted Blackout Period Extension, sixty (60)) calendar days (whether or not consecutive) in any ninety (90) consecutive calendar day period; or (y) ninety (90) (or, in the case of a Permitted Blackout Period Extension, one hundred and twenty (120)) calendar days (whether or not consecutive) in any three hundred and sixty (360) consecutive calendar day period; and (B) no Additional Interest will accrue pursuant to this Section 7(a)(i)(1) as a result of the Resale Registration Statement becoming unavailable in connection with the filing of a post-effective amendment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but only to the extent such unavailability in respect of such post-effective amendment does not exceed five (5) Business Days; and </w:t>
      </w:r>
    </w:p>
    <w:p>
      <w:pPr>
        <w:pStyle w:val="TextBody"/>
        <w:bidi w:val="0"/>
        <w:spacing w:before="240" w:after="0"/>
        <w:jc w:val="left"/>
        <w:rPr>
          <w:rFonts w:ascii="Times New Roman" w:hAnsi="Times New Roman"/>
          <w:sz w:val="20"/>
        </w:rPr>
      </w:pPr>
      <w:r>
        <w:rPr>
          <w:rFonts w:ascii="Times New Roman" w:hAnsi="Times New Roman"/>
          <w:sz w:val="20"/>
        </w:rPr>
        <w:t xml:space="preserve">(2) on any outstanding Initial Note (and only such Initial Note) as to which the Holder has timely and duly delivered a Notice and Questionnaire: </w:t>
      </w:r>
    </w:p>
    <w:p>
      <w:pPr>
        <w:pStyle w:val="TextBody"/>
        <w:bidi w:val="0"/>
        <w:spacing w:before="120" w:after="0"/>
        <w:jc w:val="left"/>
        <w:rPr>
          <w:rFonts w:ascii="Times New Roman" w:hAnsi="Times New Roman"/>
          <w:sz w:val="20"/>
        </w:rPr>
      </w:pPr>
      <w:r>
        <w:rPr>
          <w:rFonts w:ascii="Times New Roman" w:hAnsi="Times New Roman"/>
          <w:sz w:val="20"/>
        </w:rPr>
        <w:t xml:space="preserve">(A) on or before the Initial Notice and Questionnaire Deadline Date, for each day (other than during a Blackout Period), on or after the first date that the initial Resale Registration Statement becomes effective under the Securities Act, on which the Company, through its omission, has failed, and not cured such failure, to cause the Resale Registration Statement to cover any Registrable Securities of such Initial Note (provided such Registrable Securities are properly identified in such Notice and Questionnaire) in such manner as would enable such Holder to sell or otherwise transfer such Registrable Securities pursuant to the Resale Registration Statement and the related prospectus and, if applicable, prospectus supplement in accordance with the plan of distribution set forth therein;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after the Initial Notice and Questionnaire Deadline Date, for each day (other than during a Blackout Period), on or after the date on which the applicable filing is made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(or, if applicable, such later date as of which the related new Resale Registration Statement or post-effective amendment becomes effective under the Securities Act), on which the Company, through its omission, has failed, and not cured such failure, to include, in such filing, any Registrable Securities of such Initial Note (provided such Registrable Securities are properly identified in such Notice and Questionnaire) in such manner as would enable such Holder to sell or otherwise transfer such Registrable Securities pursuant to the applicable Resale Registration Statement and the related prospectus and, if applicable, prospectus supplement in accordance with the plan of distribution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Registration Default Events Outside the Resale Registration Statement Effectiveness Period; No Accrual of Additional Interest on Registrable Securities</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(i) no Registration Default Event will occur on any day that is not within the Resale Registration Statement Effectiveness Period; and (ii) no Additional Interest will accrue on any securities other than the Initial Notes (it being understood, for the avoidance of doubt, that no Additional Interest will accrue on any Registrable Security).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Accrual and Payment of Additional Interest</w:t>
      </w:r>
      <w:r>
        <w:rPr>
          <w:rFonts w:ascii="Times New Roman" w:hAnsi="Times New Roman"/>
          <w:sz w:val="20"/>
        </w:rPr>
        <w:t xml:space="preserve">. Any Additional Interest that accrues on an Initial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7(a)</w:t>
      </w:r>
      <w:r>
        <w:rPr>
          <w:rFonts w:ascii="Times New Roman" w:hAnsi="Times New Roman"/>
          <w:sz w:val="20"/>
        </w:rPr>
        <w:t xml:space="preserve"> will accrue and be payable in the manner, and at the rates, and subject to the limitations, set forth in Section 3.04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Remedies Not Exclusive</w:t>
      </w:r>
      <w:r>
        <w:rPr>
          <w:rFonts w:ascii="Times New Roman" w:hAnsi="Times New Roman"/>
          <w:sz w:val="20"/>
        </w:rPr>
        <w:t xml:space="preserve">. The accrual or payment of Additional Interest is not the exclusive remedy and will not limit, and will be in addition to, any rights or remedies that may otherwise be available to any Holder at law or in equity; provided, however, that, notwithstanding anything to the contrary in this Agreement, if a Maturity Premium is paid on a note in connection with a Registration Default Event, then the payment of such Maturity Premium (together, if applicable, with any Additional Interest payable on such note on account of such Registration Default Event) will be the exclusive remedy available to the Holder of such note in respect of such Registration Default Event.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CERTAIN AGREEMENTS AND REPRESENTATIONS OF THE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Provision of Information</w:t>
      </w:r>
      <w:r>
        <w:rPr>
          <w:rFonts w:ascii="Times New Roman" w:hAnsi="Times New Roman"/>
          <w:sz w:val="20"/>
        </w:rPr>
        <w:t xml:space="preserve">. Notwithstanding anything to the contrary in this Agreement, no Holder will be entitled to any benefits under this Agreement until it has executed and delivered a Notice and Questionnaire to the Company. Each Holder represents that the information included in any such Notice and Questionnaire is accurate and complete in all material respects and covenants, during the term of this Agreement, to promptly provide notice to the Company if any such information thereafter ceases to be accurate and complete in all material respects. Each Holder authorizes the Company to assume the accuracy and completeness of all information contained in the most recent Notice and Questionnaire executed and delivered to the Company by such Holder. Each Holder will (i) provide, as soon as reasonably practicable, such other information as the Company may reasonably request in connection with the performance of the Company’s obligations under this Agreement; and (ii) promptly notify the Company upon becoming aware that any information relating to such Holder and included in any Resale Registration Statement contains a Material Disclosure Defect.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Use of Offering Materials</w:t>
      </w:r>
      <w:r>
        <w:rPr>
          <w:rFonts w:ascii="Times New Roman" w:hAnsi="Times New Roman"/>
          <w:sz w:val="20"/>
        </w:rPr>
        <w:t xml:space="preserve">. Each Holder agrees that, without the prior written consent of the Company, it will not offer or sell any Registrable Securities by means of any written communication other than the latest prospectus or prospectus supplement provided to such Holder by the Company (or on file on SEC’s EDGAR system (or any successor thereto)) relating to the Resale Registration Statement, and any related “issuer free writing prospectus” (as defined in Rule 433 under the Securities Act) authorized for such use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Covenants Relating to Blackout Periods</w:t>
      </w:r>
      <w:r>
        <w:rPr>
          <w:rFonts w:ascii="Times New Roman" w:hAnsi="Times New Roman"/>
          <w:sz w:val="20"/>
        </w:rPr>
        <w:t xml:space="preserve">. Each Holder agrees that, upon its receipt of a Blackout Commencement Notice, such Holder will not effect any sale or other transfer of Registrable Securities pursuant to the Resale Registration Statement, and will not distribute any Resale Registration Statement, until such Holder has received a subsequent Blackout Termination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by the Issuers</w:t>
      </w:r>
      <w:r>
        <w:rPr>
          <w:rFonts w:ascii="Times New Roman" w:hAnsi="Times New Roman"/>
          <w:sz w:val="20"/>
        </w:rPr>
        <w:t xml:space="preserve">. The Issuers, jointly and severally, will indemnify, defend and hold harmless each Holder Indemnified Person from and against (and will reimburse such Holder Indemnified Person, as incurred, for) any Losses that, jointly or severally, such Holder Indemnified Person may incur under the Securities Act, the Exchange Act, the common law or otherwise, insofar as such Losses arise out of or are based on any Material Disclosure Defect or alleged Material Disclosure Defect in any Resale Registration Statement;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Issuer will have any obligation under this </w:t>
      </w:r>
      <w:r>
        <w:rPr>
          <w:rFonts w:ascii="Times New Roman" w:hAnsi="Times New Roman"/>
          <w:b/>
          <w:sz w:val="20"/>
        </w:rPr>
        <w:t>Section</w:t>
      </w:r>
      <w:r>
        <w:rPr>
          <w:rFonts w:ascii="Times New Roman" w:hAnsi="Times New Roman"/>
          <w:sz w:val="20"/>
        </w:rPr>
        <w:t> </w:t>
      </w:r>
      <w:r>
        <w:rPr>
          <w:rFonts w:ascii="Times New Roman" w:hAnsi="Times New Roman"/>
          <w:b/>
          <w:sz w:val="20"/>
        </w:rPr>
        <w:t>9(a)</w:t>
      </w:r>
      <w:r>
        <w:rPr>
          <w:rFonts w:ascii="Times New Roman" w:hAnsi="Times New Roman"/>
          <w:sz w:val="20"/>
        </w:rPr>
        <w:t xml:space="preserve"> in respect of any Losses insofar as such Losses arise out of or are based on (i) any sale by such Holder Indemnified Person, pursuant to the Resale Registration Statement, of Registrable Securities either (x) during a Blackout Period in breach of such Holder’s covenant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4(a)(iii)</w:t>
      </w:r>
      <w:r>
        <w:rPr>
          <w:rFonts w:ascii="Times New Roman" w:hAnsi="Times New Roman"/>
          <w:sz w:val="20"/>
        </w:rPr>
        <w:t xml:space="preserve">; or (y) without delivery, if required by the Securities Act, of the most recent related prospectus or prospectus supplement provided to such Holder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5(h)</w:t>
      </w:r>
      <w:r>
        <w:rPr>
          <w:rFonts w:ascii="Times New Roman" w:hAnsi="Times New Roman"/>
          <w:sz w:val="20"/>
        </w:rPr>
        <w:t xml:space="preserve"> (or on file on SEC’s EDGAR system (or any successor thereto)), except, in the case of this </w:t>
      </w:r>
      <w:r>
        <w:rPr>
          <w:rFonts w:ascii="Times New Roman" w:hAnsi="Times New Roman"/>
          <w:b/>
          <w:sz w:val="20"/>
        </w:rPr>
        <w:t>clause (y)</w:t>
      </w:r>
      <w:r>
        <w:rPr>
          <w:rFonts w:ascii="Times New Roman" w:hAnsi="Times New Roman"/>
          <w:sz w:val="20"/>
        </w:rPr>
        <w:t xml:space="preserve">, to the extent the same is deemed to have been delivered through compliance with Rule 172 under the Securities Act or any similar rule; or (ii) any Material Disclosure Defect or alleged Material Disclosure Defect included in any Resale Registration Statement in conformity with or in reliance on the Holder Information of any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by the Holders</w:t>
      </w:r>
      <w:r>
        <w:rPr>
          <w:rFonts w:ascii="Times New Roman" w:hAnsi="Times New Roman"/>
          <w:sz w:val="20"/>
        </w:rPr>
        <w:t xml:space="preserve">. Each Holder, severally and not jointly, will indemnify, defend and hold harmless each Company Indemnified Person from and against (and will reimburse such Company Indemnified Person, as incurred, for) any Losses that, jointly or severally, such Company Indemnified Person may incur under the Securities Act, the Exchange Act, the common law or otherwise, insofar as such Losses arise out of or are based on (i) any sale by such Holder, pursuant to the Resale Registration Statement, of Registrable Securities either (x) during a Blackout Period in breach of such Holder’s covenant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4(a)(iii)</w:t>
      </w:r>
      <w:r>
        <w:rPr>
          <w:rFonts w:ascii="Times New Roman" w:hAnsi="Times New Roman"/>
          <w:sz w:val="20"/>
        </w:rPr>
        <w:t xml:space="preserve">; or (y) without delivery, if required by the Securities Act, of the most recent related prospectus or prospectus supplement provided to such Holder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5(h)</w:t>
      </w:r>
      <w:r>
        <w:rPr>
          <w:rFonts w:ascii="Times New Roman" w:hAnsi="Times New Roman"/>
          <w:sz w:val="20"/>
        </w:rPr>
        <w:t xml:space="preserve"> (or on file on SEC’s EDGAR system (or any successor thereto)), except, in the case of this </w:t>
      </w:r>
      <w:r>
        <w:rPr>
          <w:rFonts w:ascii="Times New Roman" w:hAnsi="Times New Roman"/>
          <w:b/>
          <w:sz w:val="20"/>
        </w:rPr>
        <w:t>clause (y)</w:t>
      </w:r>
      <w:r>
        <w:rPr>
          <w:rFonts w:ascii="Times New Roman" w:hAnsi="Times New Roman"/>
          <w:sz w:val="20"/>
        </w:rPr>
        <w:t xml:space="preserve">, to the extent the same is deemed to have been delivered through compliance with Rule 172 under the Securities Act or any similar rule; or (ii) any Material Disclosure Defect or alleged Material Disclosure Defect in any Resale Registration Statement, which Material Disclosure Defect or alleged Material Disclosure Defect is included therein in conformity with the Holder Information of such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the liability of any Holder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exceed a dollar amount equal to the proceeds received by such Holder (less any related discounts, commissions, transfer taxes, fees or other expenses) from the sale of the Registrable Securities giving rise to the related indemnification obligation under this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will impose any obligation on any Initial Purchaser acting in its capacity as such in connection with the offering of the Initial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Indemnification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Notice of Proceedings</w:t>
      </w:r>
      <w:r>
        <w:rPr>
          <w:rFonts w:ascii="Times New Roman" w:hAnsi="Times New Roman"/>
          <w:sz w:val="20"/>
        </w:rPr>
        <w:t>. If any claim, action, suit or proceeding (each, a “</w:t>
      </w:r>
      <w:r>
        <w:rPr>
          <w:rFonts w:ascii="Times New Roman" w:hAnsi="Times New Roman"/>
          <w:b/>
          <w:sz w:val="20"/>
        </w:rPr>
        <w:t>Proceeding</w:t>
      </w:r>
      <w:r>
        <w:rPr>
          <w:rFonts w:ascii="Times New Roman" w:hAnsi="Times New Roman"/>
          <w:sz w:val="20"/>
        </w:rPr>
        <w:t>”) is made or commenced against any Indemnified Person in respect of which indemnity is or may be sought from any Person (in such capacity, the “</w:t>
      </w:r>
      <w:r>
        <w:rPr>
          <w:rFonts w:ascii="Times New Roman" w:hAnsi="Times New Roman"/>
          <w:b/>
          <w:sz w:val="20"/>
        </w:rPr>
        <w:t>Indemnifying Party</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9(a)</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then such Indemnified Person will promptly notify the such Indemnifying Party in writing of such Proceeding;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so notify such Indemnifying Party will not relieve such Indemnifying Party from any liability that it may have to such Indemnified Person or otherwise, except to the extent that such Indemnifying Party is materially prejudiced by such failure.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Defense of Proceedings; Employment of Counsel</w:t>
      </w:r>
      <w:r>
        <w:rPr>
          <w:rFonts w:ascii="Times New Roman" w:hAnsi="Times New Roman"/>
          <w:sz w:val="20"/>
        </w:rPr>
        <w:t xml:space="preserve">. Subject to the next sentence, upon its receipt of the notice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9(c)(i)</w:t>
      </w:r>
      <w:r>
        <w:rPr>
          <w:rFonts w:ascii="Times New Roman" w:hAnsi="Times New Roman"/>
          <w:sz w:val="20"/>
        </w:rPr>
        <w:t xml:space="preserve"> in respect of a Proceeding, the Indemnifying Party will assume the defense of such Proceeding, including the employment of counsel reasonably satisfactory to the Indemnified Person and payment of all fees and expenses. Such Indemnified Person will also have the right to employ its own counsel in such Proceeding at such Indemnified Person’s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Indemnifying Party will be responsible for, and pay as incurred, the reasonable and documented fees and expenses of such counsel if (1) such Indemnifying Party authorized, in writing, the employment of such counsel in connection with the defense of such Proceeding; (2) such Indemnifying Party fails, within thirty (30) days after its receipt of the notice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9(c)(i)</w:t>
      </w:r>
      <w:r>
        <w:rPr>
          <w:rFonts w:ascii="Times New Roman" w:hAnsi="Times New Roman"/>
          <w:sz w:val="20"/>
        </w:rPr>
        <w:t xml:space="preserve">, to employ counsel to defend such Proceeding; or (3) such Indemnified Person reasonably concludes that there may be defenses available to such Indemnified Person that are different from, in addition to, or in conflict with, those available to such Indemnifying Party (in which case of this </w:t>
      </w:r>
      <w:r>
        <w:rPr>
          <w:rFonts w:ascii="Times New Roman" w:hAnsi="Times New Roman"/>
          <w:b/>
          <w:sz w:val="20"/>
        </w:rPr>
        <w:t>clause (3)</w:t>
      </w:r>
      <w:r>
        <w:rPr>
          <w:rFonts w:ascii="Times New Roman" w:hAnsi="Times New Roman"/>
          <w:sz w:val="20"/>
        </w:rPr>
        <w:t xml:space="preserve">, such Indemnifying Party will not have the right to direct the defense of such Proceeding on behalf of such Indemnified Person).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9(c)(ii)</w:t>
      </w:r>
      <w:r>
        <w:rPr>
          <w:rFonts w:ascii="Times New Roman" w:hAnsi="Times New Roman"/>
          <w:sz w:val="20"/>
        </w:rPr>
        <w:t xml:space="preserve">, in no event will any Indemnifying Party be liable for the fees or expenses of more than one separate counsel (in addition to any local counsel) in any one Proceeding or series of related Proceedings in the same jurisdiction representing the Indemnified Person(s) who are parties to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Settlements of Proceedings</w:t>
      </w:r>
      <w:r>
        <w:rPr>
          <w:rFonts w:ascii="Times New Roman" w:hAnsi="Times New Roman"/>
          <w:sz w:val="20"/>
        </w:rPr>
        <w:t xml:space="preserve">. An Indemnifying Party will not be liable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9(a)</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as applicable, or this </w:t>
      </w:r>
      <w:r>
        <w:rPr>
          <w:rFonts w:ascii="Times New Roman" w:hAnsi="Times New Roman"/>
          <w:b/>
          <w:sz w:val="20"/>
        </w:rPr>
        <w:t>Section</w:t>
      </w:r>
      <w:r>
        <w:rPr>
          <w:rFonts w:ascii="Times New Roman" w:hAnsi="Times New Roman"/>
          <w:sz w:val="20"/>
        </w:rPr>
        <w:t> </w:t>
      </w:r>
      <w:r>
        <w:rPr>
          <w:rFonts w:ascii="Times New Roman" w:hAnsi="Times New Roman"/>
          <w:b/>
          <w:sz w:val="20"/>
        </w:rPr>
        <w:t>9(c)</w:t>
      </w:r>
      <w:r>
        <w:rPr>
          <w:rFonts w:ascii="Times New Roman" w:hAnsi="Times New Roman"/>
          <w:sz w:val="20"/>
        </w:rPr>
        <w:t xml:space="preserve"> for any settlement of any Proceeding except as provided in the next sentence. If any Proceeding is settled, then the Indemnifying Party will indemnify and hold harmless each Indemnified Person that is subject to such settlement from and against any Losses incurred by such Indemnified Person by reason of such settlement, if: </w:t>
      </w:r>
    </w:p>
    <w:p>
      <w:pPr>
        <w:pStyle w:val="TextBody"/>
        <w:bidi w:val="0"/>
        <w:spacing w:before="120" w:after="0"/>
        <w:jc w:val="left"/>
        <w:rPr>
          <w:rFonts w:ascii="Times New Roman" w:hAnsi="Times New Roman"/>
          <w:sz w:val="20"/>
        </w:rPr>
      </w:pPr>
      <w:r>
        <w:rPr>
          <w:rFonts w:ascii="Times New Roman" w:hAnsi="Times New Roman"/>
          <w:sz w:val="20"/>
        </w:rPr>
        <w:t xml:space="preserve">(1) such Indemnifying Party effected, or otherwise provided its written consent to, such settlement (which consent will not be unreasonably withheld or delayed); or </w:t>
      </w:r>
    </w:p>
    <w:p>
      <w:pPr>
        <w:pStyle w:val="TextBody"/>
        <w:bidi w:val="0"/>
        <w:spacing w:before="240" w:after="0"/>
        <w:jc w:val="left"/>
        <w:rPr>
          <w:rFonts w:ascii="Times New Roman" w:hAnsi="Times New Roman"/>
          <w:sz w:val="20"/>
        </w:rPr>
      </w:pPr>
      <w:r>
        <w:rPr>
          <w:rFonts w:ascii="Times New Roman" w:hAnsi="Times New Roman"/>
          <w:sz w:val="20"/>
        </w:rPr>
        <w:t xml:space="preserve">(2) (A) such Indemnified Person has requested such Indemnifying Party to reimburse such Indemnified Person for any fees and expenses of counsel as contemplated by </w:t>
      </w:r>
      <w:r>
        <w:rPr>
          <w:rFonts w:ascii="Times New Roman" w:hAnsi="Times New Roman"/>
          <w:b/>
          <w:sz w:val="20"/>
        </w:rPr>
        <w:t>Section</w:t>
      </w:r>
      <w:r>
        <w:rPr>
          <w:rFonts w:ascii="Times New Roman" w:hAnsi="Times New Roman"/>
          <w:sz w:val="20"/>
        </w:rPr>
        <w:t> </w:t>
      </w:r>
      <w:r>
        <w:rPr>
          <w:rFonts w:ascii="Times New Roman" w:hAnsi="Times New Roman"/>
          <w:b/>
          <w:sz w:val="20"/>
        </w:rPr>
        <w:t>9(c)(ii)</w:t>
      </w:r>
      <w:r>
        <w:rPr>
          <w:rFonts w:ascii="Times New Roman" w:hAnsi="Times New Roman"/>
          <w:sz w:val="20"/>
        </w:rPr>
        <w:t xml:space="preserve">; (B) such settlement is entered into more than sixty (60) Business Days after such Indemnifying Party has received such request; (C) such Indemnifying Party has not fully reimbursed such Indemnified Person in accordance with such request before the date of such settlement; and (D) such Indemnified Person has given such Indemnifying Party at least thirty (30) days’ prior notice of its intention to settle. </w:t>
      </w:r>
    </w:p>
    <w:p>
      <w:pPr>
        <w:pStyle w:val="TextBody"/>
        <w:bidi w:val="0"/>
        <w:spacing w:before="240" w:after="0"/>
        <w:jc w:val="left"/>
        <w:rPr>
          <w:rFonts w:ascii="Times New Roman" w:hAnsi="Times New Roman"/>
          <w:sz w:val="20"/>
        </w:rPr>
      </w:pPr>
      <w:r>
        <w:rPr>
          <w:rFonts w:ascii="Times New Roman" w:hAnsi="Times New Roman"/>
          <w:sz w:val="20"/>
        </w:rPr>
        <w:t xml:space="preserve">The Indemnifying Party will not effect any settlement of any Proceeding without the prior written consent of the applicable Indemnified Person(s) (which consent will not be unreasonably withheld or delayed), unless such settlement (1) includes an unconditional release of such Indemnified Person(s) from all liability on the claims that are the subject matter of such Proceeding; and (2) does not include an admission of fault or culpability or a failure to act by or on behalf of such Indemnified Person(s).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 Where Indemnification Not Available</w:t>
      </w:r>
      <w:r>
        <w:rPr>
          <w:rFonts w:ascii="Times New Roman" w:hAnsi="Times New Roman"/>
          <w:sz w:val="20"/>
        </w:rPr>
        <w:t xml:space="preserve">. If the indemnification provided for in this </w:t>
      </w: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is unavailable to any Indemnified Person, or is insufficient to hold any Indemnified Person harmless, in respect of any Losses referred to in the preceding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then each applicable Indemnifying Party, severally and not jointly, will contribute to the amount paid or payable by such Indemnified Person as a result of such Losses (i) in such proportion as is appropriate to reflect the relative benefits received by the Issuers, on the one hand, and the Holders, on the other hand, from the offer and sale of the Registrable Securities; or (ii) if the allocation provided by </w:t>
      </w:r>
      <w:r>
        <w:rPr>
          <w:rFonts w:ascii="Times New Roman" w:hAnsi="Times New Roman"/>
          <w:b/>
          <w:sz w:val="20"/>
        </w:rPr>
        <w:t>clause (i)</w:t>
      </w:r>
      <w:r>
        <w:rPr>
          <w:rFonts w:ascii="Times New Roman" w:hAnsi="Times New Roman"/>
          <w:sz w:val="20"/>
        </w:rPr>
        <w:t xml:space="preserve"> above is not permitted by applicable law, in such proportion as is appropriate to reflect not only the relative benefits referred to in </w:t>
      </w:r>
      <w:r>
        <w:rPr>
          <w:rFonts w:ascii="Times New Roman" w:hAnsi="Times New Roman"/>
          <w:b/>
          <w:sz w:val="20"/>
        </w:rPr>
        <w:t>clause (i)</w:t>
      </w:r>
      <w:r>
        <w:rPr>
          <w:rFonts w:ascii="Times New Roman" w:hAnsi="Times New Roman"/>
          <w:sz w:val="20"/>
        </w:rPr>
        <w:t xml:space="preserve"> above but also the relative fault of the Issuers, on the one hand, and of the Holders, on the other hand, in connection with the statements or omissions, or the actions or non-actions, as applicable, that resulted in such Losses, as well as other relevant equitable considerations. The benefits to the Issuers, on the one hand, will be deemed to be equal to the proceeds (after deducting offering expenses) from the issuance and sale of the Initial Notes pursuant to the Purchase Agreement, and the benefits received by any Holder, on the other hand, will be deemed to be the value of having the offer and sale of such Holder’s Registrable Securities registered under the Securities Act pursuant to this Agreement. The relative fault of the Issuers, on the one hand, and of the Holders, on the other hand, will be determined by reference to, among other things, whether any applicable Material Disclosure Defect or alleged Material Disclosure Defect, or any relevant action or non-action, as applicable, relates to information supplied, or was taken or made, as applicable, by the Issuers or by the Holders and the parties’ relative intent, knowledge, access to information and opportunity to correct or prevent such Material Disclosure Defect or alleged Material Disclosure Defect, or such action or non-action, as applicable. The amount paid or payable by an Indemnified Person as a result of any Losses referred to in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will include any legal or other fees or expenses reasonably incurred by such Indemnified Person in connection with investigating, preparing to defend or defending the related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Issuers and the Holders agree that it would not be just and equitable if contribution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were determined by pro rata allocation (even if the Holders were treated as one Person, or the Issuers were treated as one Person, for such purpose) or by any other allocation method that does not take account of the equitable considerations referred to in the preceding paragraph. Notwithstanding anything to the contrary in the preceding paragraph, no Holder will be required to contribute any amount in excess of the amount by which the proceeds received by such Holder (less any related discounts, commissions, transfer taxes, fees or other expenses) from the sale of Registrable Securities pursuant to any Resale Registration Statement exceeds the amount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damage that such Holder has otherwise been required to pay by reason of the relevant Material Disclosure Defect or alleged Material Disclosure Defect, or the relevant action or non-action, as applicable. No Person guilty of fraudulent misrepresentation (within the meaning of Section 11(f) of the Securities Act) will be entitled to contribution from any Person who was not guilty of such fraudulent misrepresentation. The Holders’ obligations to contribute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are several and not joint.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will impose any obligation on any Initial Purchaser acting in its capacity as such in connection with the offering of the Initial Notes.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Remedies Not Exclusive</w:t>
      </w:r>
      <w:r>
        <w:rPr>
          <w:rFonts w:ascii="Times New Roman" w:hAnsi="Times New Roman"/>
          <w:sz w:val="20"/>
        </w:rPr>
        <w:t xml:space="preserve">. The remedies provided for in this </w:t>
      </w: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are not exclusive and will not limit, and will be in addition to, any rights or remedies that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SUBSEQUENT HOLDERS</w:t>
      </w:r>
      <w:r>
        <w:rPr>
          <w:rFonts w:ascii="Times New Roman" w:hAnsi="Times New Roman"/>
          <w:sz w:val="20"/>
        </w:rPr>
        <w:t xml:space="preserve">. Each Person that acquires any Registrable Securities from any Holder will, to the extent such securities continue to constitute Registrable Securities in the hands of such Person, become a Holder until such time as such person thereafter ceases to satisfy the definition of such term.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The Issuers will send all notices or communications to any Holder pursuant to this Agreement either (a) in writing by first class mail, certified or registered, return receipt requested, or by overnight air courier guaranteeing next day delivery, to such Holder’s address as set forth in the latest Notice and Questionnaire of such Notice Holder delivered to the Company (or, if such Holder has not delivered any Notice and Questionnaire, as set forth in the Company’s registrar); or (b) by email to the email address specified in such Notice and Questionnaire (which email will be deemed to constitute notice in writing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any Holder to any Issuer will be deemed to have been duly given if in writing by first class mail, certified or registered, return receipt requested, or by overnight air courier guaranteeing next day delivery, to offices of the Company at the following address (or at such other address as may be hereafter specified by notice to the Holders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401 Wilshire Boulevard</w:t>
      </w:r>
      <w:r>
        <w:rPr>
          <w:rFonts w:ascii="Times New Roman" w:hAnsi="Times New Roman"/>
          <w:b/>
          <w:sz w:val="20"/>
        </w:rPr>
        <w:t>,</w:t>
      </w:r>
      <w:r>
        <w:rPr>
          <w:rFonts w:ascii="Times New Roman" w:hAnsi="Times New Roman"/>
          <w:sz w:val="20"/>
        </w:rPr>
        <w:t xml:space="preserve"> 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and Administrative Officer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02210 </w:t>
      </w:r>
    </w:p>
    <w:p>
      <w:pPr>
        <w:pStyle w:val="TextBody"/>
        <w:bidi w:val="0"/>
        <w:spacing w:before="0" w:after="0"/>
        <w:jc w:val="left"/>
        <w:rPr>
          <w:rFonts w:ascii="Times New Roman" w:hAnsi="Times New Roman"/>
          <w:sz w:val="20"/>
        </w:rPr>
      </w:pPr>
      <w:r>
        <w:rPr>
          <w:rFonts w:ascii="Times New Roman" w:hAnsi="Times New Roman"/>
          <w:sz w:val="20"/>
        </w:rPr>
        <w:t xml:space="preserve">Attention: James P. Barri and David H. Roberts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Amendments and Waivers</w:t>
      </w:r>
      <w:r>
        <w:rPr>
          <w:rFonts w:ascii="Times New Roman" w:hAnsi="Times New Roman"/>
          <w:sz w:val="20"/>
        </w:rPr>
        <w:t xml:space="preserve">. This Agreement, or any provision of this Agreement, may be amended, modified, waived or superseded only by a written instrument that is executed by each of the Issuers and by one or more Notice Holders whose aggregate As-Exchanged Note Ownership Percentage exceeds fifty percent (50%), and any such amendment, modification, waiver or supersession so executed will be binding upon the Issuers and all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no amendment, modification, waiver or supersession of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(including the events that constitute a Registration Default Event) or this </w:t>
      </w:r>
      <w:r>
        <w:rPr>
          <w:rFonts w:ascii="Times New Roman" w:hAnsi="Times New Roman"/>
          <w:b/>
          <w:sz w:val="20"/>
        </w:rPr>
        <w:t>Section</w:t>
      </w:r>
      <w:r>
        <w:rPr>
          <w:rFonts w:ascii="Times New Roman" w:hAnsi="Times New Roman"/>
          <w:sz w:val="20"/>
        </w:rPr>
        <w:t> </w:t>
      </w:r>
      <w:r>
        <w:rPr>
          <w:rFonts w:ascii="Times New Roman" w:hAnsi="Times New Roman"/>
          <w:b/>
          <w:sz w:val="20"/>
        </w:rPr>
        <w:t>11(b)</w:t>
      </w:r>
      <w:r>
        <w:rPr>
          <w:rFonts w:ascii="Times New Roman" w:hAnsi="Times New Roman"/>
          <w:sz w:val="20"/>
        </w:rPr>
        <w:t xml:space="preserve">, or any related definitions, will be effective as to any Holder or any Initial Purchaser unless reflected in a written instrument executed by such Holder or such Initial Purchaser, as applicable; (ii) a waiver with respect to any particular Holder’s rights under this Agreement will be effective as to such Holder if reflected in a written instrument executed by such Holder, </w:t>
      </w:r>
      <w:r>
        <w:rPr>
          <w:rFonts w:ascii="Times New Roman" w:hAnsi="Times New Roman"/>
          <w:i/>
          <w:sz w:val="20"/>
        </w:rPr>
        <w:t>provided</w:t>
      </w:r>
      <w:r>
        <w:rPr>
          <w:rFonts w:ascii="Times New Roman" w:hAnsi="Times New Roman"/>
          <w:sz w:val="20"/>
        </w:rPr>
        <w:t xml:space="preserve"> such waiver does not adversely affect the rights of any other Holder; and (iii) no amendment, modification, waiver or supersession that affects any rights of any Initial Purchaser will be effective as to such Initial Purchaser unless reflected in a written instrument executed by such Initial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determining whether any such amendment, modification, waiver or supersession is executed by Holders of the requisite number of securities, the Issuers may, absent manifest error, conclusively rely on information contained in the Company’s registrar or in any Notice and Questionnaire.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the Issuers will have the right to amend or supplement this Agreement, or any provision of this Agreement, without the consent of any Holder or any Initial Purchaser, to (i) conform the provisions of this Agreement to the “Description of Notes—Registration Rights; Additional Interest; Maturity Premium” section of the Issuers’ preliminary offering memorandum, dated August 6, 2026, as supplemented by the related pricing term sheet, dated August 6, 2026, relating to the initial offering of the Initial Notes; and (ii) in connection with a Company Business Combination Event or Parent Guarantor Business Combination Event, effect the addition of a successor to the applicable Issuer and (if applicable) the release of the predecessor Issuer, in each case in the manner set forth in Articles 6 and 9 or Sections 6.01 and 9.01, as applicable,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delay on the part of any party in exercising any right, power or privilege pursuant to this Agreement will operate as a waiver thereof, and no waiver, or single or partial exercise of, any such right, power or privilege will preclude any other or further exercise thereof or the exercise of any other right, power or privilege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 Party Beneficiaries</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this Agreement will be binding on, inure to the benefit of and be enforceable by, each Holder and its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Governing Law; Waiver of Jury Trial</w:t>
      </w:r>
      <w:r>
        <w:rPr>
          <w:rFonts w:ascii="Times New Roman" w:hAnsi="Times New Roman"/>
          <w:sz w:val="20"/>
        </w:rPr>
        <w:t xml:space="preserve">. THIS AGREEMENT, AND ANY CLAIM, CONTROVERSY OR DISPUTE ARISING UNDER OR RELATED TO THIS AGREEMENT, WILL BE GOVERNED BY AND CONSTRUED IN ACCORDANCE WITH THE LAWS OF THE STATE OF NEW YORK. EACH OF THE ISSUERS AND EACH INITIAL PURCHASER IRREVOCABLY WAIVES, TO THE FULLEST EXTENT PERMITTED BY APPLICABLE LAW, ANY AND ALL RIGHT TO TRIAL BY JURY IN ANY LEGAL PROCEEDING ARISING OUT OF OR RELATING TO THIS AGREEMENT OR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Submission to Jurisdiction</w:t>
      </w:r>
      <w:r>
        <w:rPr>
          <w:rFonts w:ascii="Times New Roman" w:hAnsi="Times New Roman"/>
          <w:sz w:val="20"/>
        </w:rPr>
        <w:t>. Any legal suit, action or proceeding arising out of or based upon this Agreement or the transactions contemplated by this Agreement may be instituted in the federal courts of the United States of America located in the City of New York or the courts of the State of New York, in each case located in the City of New York (collectively, the “</w:t>
      </w:r>
      <w:r>
        <w:rPr>
          <w:rFonts w:ascii="Times New Roman" w:hAnsi="Times New Roman"/>
          <w:b/>
          <w:sz w:val="20"/>
        </w:rPr>
        <w:t>Specified Courts</w:t>
      </w:r>
      <w:r>
        <w:rPr>
          <w:rFonts w:ascii="Times New Roman" w:hAnsi="Times New Roman"/>
          <w:sz w:val="20"/>
        </w:rPr>
        <w:t xml:space="preserve">”), and each of the Issuers, each Initial Purchaser and each Holder irrevocably submits to the non-exclusive jurisdiction of such courts in any such suit, action or proceeding. Service of any process, summons, notice or document by mail (to the extent allowed under any applicable statute or rule of court) to the address of the relevant party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11(a)</w:t>
      </w:r>
      <w:r>
        <w:rPr>
          <w:rFonts w:ascii="Times New Roman" w:hAnsi="Times New Roman"/>
          <w:sz w:val="20"/>
        </w:rPr>
        <w:t xml:space="preserve"> will be effective service of process for any such suit, action or proceeding brought in any such court. Each of the Issuers, each Initial Purchaser and each Holder (by its execution and delivery of this Agreement, a joinder to this Agreement or a Notice and Questionnaire)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Adverse Interpretation of Other Agreements</w:t>
      </w:r>
      <w:r>
        <w:rPr>
          <w:rFonts w:ascii="Times New Roman" w:hAnsi="Times New Roman"/>
          <w:sz w:val="20"/>
        </w:rPr>
        <w:t xml:space="preserve">. This Agreement may not be used to interpret any other agreement of any Issuer or its subsidiaries or of any other Person, and except to the extent the terms of the Indenture are referenced herein, no such agreement may be used to interpret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Successors</w:t>
      </w:r>
      <w:r>
        <w:rPr>
          <w:rFonts w:ascii="Times New Roman" w:hAnsi="Times New Roman"/>
          <w:sz w:val="20"/>
        </w:rPr>
        <w:t xml:space="preserve">. All agreements of the Issuers in this Agreement will bind their respective successors.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Severability</w:t>
      </w:r>
      <w:r>
        <w:rPr>
          <w:rFonts w:ascii="Times New Roman" w:hAnsi="Times New Roman"/>
          <w:sz w:val="20"/>
        </w:rPr>
        <w:t xml:space="preserve">. If any provision of this Agreement is invalid, illegal or unenforceable, then the validity, legality and enforceability of the remaining provisions of this Agreement will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Counterparts</w:t>
      </w:r>
      <w:r>
        <w:rPr>
          <w:rFonts w:ascii="Times New Roman" w:hAnsi="Times New Roman"/>
          <w:sz w:val="20"/>
        </w:rPr>
        <w:t xml:space="preserve">. The parties may sign any number of copies of this Agreement. Each signed copy will be an original, and all of them together represent the same agreement. Delivery of an executed counterpart of this Agreement by facsimile, electronically in portable document format or in any other format will be effective as delivery of a manually executed counterpart.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Table of Contents, Headings, Etc</w:t>
      </w:r>
      <w:r>
        <w:rPr>
          <w:rFonts w:ascii="Times New Roman" w:hAnsi="Times New Roman"/>
          <w:sz w:val="20"/>
        </w:rPr>
        <w:t xml:space="preserve">. The table of contents and the headings of the Sections and Subsections of this Agreement have been inserted for convenience of reference only, are not to be considered a part of this Agreement and will in no way modify or restrict any of the terms or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Entire Agreement</w:t>
      </w:r>
      <w:r>
        <w:rPr>
          <w:rFonts w:ascii="Times New Roman" w:hAnsi="Times New Roman"/>
          <w:sz w:val="20"/>
        </w:rPr>
        <w:t xml:space="preserve">. This Agreement, including </w:t>
      </w:r>
      <w:r>
        <w:rPr>
          <w:rFonts w:ascii="Times New Roman" w:hAnsi="Times New Roman"/>
          <w:b/>
          <w:sz w:val="20"/>
        </w:rPr>
        <w:t>Exhibit A</w:t>
      </w:r>
      <w:r>
        <w:rPr>
          <w:rFonts w:ascii="Times New Roman" w:hAnsi="Times New Roman"/>
          <w:sz w:val="20"/>
        </w:rPr>
        <w:t xml:space="preserve">, constitutes the entire agreement of the parties with respect to the specific subject matter of this Agreement and supersedes in their entirety all other agreements or understandings (whether written or oral) between or among the parties with respect to such specific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Specific Performance</w:t>
      </w:r>
      <w:r>
        <w:rPr>
          <w:rFonts w:ascii="Times New Roman" w:hAnsi="Times New Roman"/>
          <w:sz w:val="20"/>
        </w:rPr>
        <w:t xml:space="preserve">. Each Issuer (a) agrees that any failure by it to comply with its obligations under this Agreement may result in material irreparable injury to the Notice Holders for which there is no adequate remedy at law, and, that upon any such failure, any Notice Holder may obtain such relief as may be required to specifically enforce such Issuer’s obligations under this Agreement; and (b) hereby waives the defense in any action for specific performance that a remedy at law would be adequate.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to this Agreement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w:t>
            </w:r>
            <w:r>
              <w:rPr>
                <w:sz w:val="20"/>
              </w:rPr>
              <w:t>HE</w:t>
            </w:r>
            <w:r>
              <w:rPr/>
              <w:t xml:space="preserve"> M</w:t>
            </w:r>
            <w:r>
              <w:rPr>
                <w:sz w:val="20"/>
              </w:rPr>
              <w:t>ACERICH</w:t>
            </w:r>
            <w:r>
              <w:rPr/>
              <w:t xml:space="preserve"> P</w:t>
            </w:r>
            <w:r>
              <w:rPr>
                <w:sz w:val="20"/>
              </w:rPr>
              <w:t>ARTNERSHIP</w:t>
            </w:r>
            <w:r>
              <w:rPr/>
              <w:t>,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w:t>
            </w:r>
            <w:r>
              <w:rPr>
                <w:sz w:val="20"/>
              </w:rPr>
              <w:t>HE</w:t>
            </w:r>
            <w:r>
              <w:rPr/>
              <w:t xml:space="preserve"> M</w:t>
            </w:r>
            <w:r>
              <w:rPr>
                <w:sz w:val="20"/>
              </w:rPr>
              <w:t>ACERICH</w:t>
            </w:r>
            <w:r>
              <w:rPr/>
              <w:t xml:space="preserve"> C</w:t>
            </w:r>
            <w:r>
              <w:rPr>
                <w:sz w:val="20"/>
              </w:rPr>
              <w:t>OMPANY</w:t>
            </w:r>
            <w:r>
              <w:rPr/>
              <w:t>, its general partner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Daniel E. Swanstrom II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Daniel E. Swanstrom II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Senior Executive Vice President,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w:t>
            </w:r>
            <w:r>
              <w:rPr>
                <w:sz w:val="20"/>
              </w:rPr>
              <w:t>HE</w:t>
            </w:r>
            <w:r>
              <w:rPr/>
              <w:t xml:space="preserve"> M</w:t>
            </w:r>
            <w:r>
              <w:rPr>
                <w:sz w:val="20"/>
              </w:rPr>
              <w:t>ACERICH</w:t>
            </w:r>
            <w:r>
              <w:rPr/>
              <w:t xml:space="preserve"> C</w:t>
            </w:r>
            <w:r>
              <w:rPr>
                <w:sz w:val="20"/>
              </w:rPr>
              <w:t>OMPANY</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Daniel E. Swanstrom II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Daniel E. Swanstrom II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Senior Executive Vice President,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w:t>
            </w:r>
            <w:r>
              <w:rPr>
                <w:sz w:val="20"/>
              </w:rPr>
              <w:t>ORGAN</w:t>
            </w:r>
            <w:r>
              <w:rPr/>
              <w:t xml:space="preserve"> S</w:t>
            </w:r>
            <w:r>
              <w:rPr>
                <w:sz w:val="20"/>
              </w:rPr>
              <w:t>ECURITIES</w:t>
            </w:r>
            <w:r>
              <w:rPr/>
              <w:t xml:space="preserve">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Laurel Zhang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Laurel Zhang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w:t>
            </w:r>
            <w:r>
              <w:rPr>
                <w:sz w:val="20"/>
              </w:rPr>
              <w:t>ORGAN</w:t>
            </w:r>
            <w:r>
              <w:rPr/>
              <w:t xml:space="preserve"> S</w:t>
            </w:r>
            <w:r>
              <w:rPr>
                <w:sz w:val="20"/>
              </w:rPr>
              <w:t>TANLEY</w:t>
            </w:r>
            <w:r>
              <w:rPr/>
              <w:t> &amp; C</w:t>
            </w:r>
            <w:r>
              <w:rPr>
                <w:sz w:val="20"/>
              </w:rPr>
              <w:t>O</w:t>
            </w:r>
            <w:r>
              <w:rPr/>
              <w: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Klavs Takhtani</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Klavs Takhtani</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AND QUESTIONNAIRE </w:t>
      </w:r>
    </w:p>
    <w:p>
      <w:pPr>
        <w:pStyle w:val="TextBody"/>
        <w:bidi w:val="0"/>
        <w:spacing w:before="240" w:after="0"/>
        <w:jc w:val="left"/>
        <w:rPr>
          <w:rFonts w:ascii="Times New Roman" w:hAnsi="Times New Roman"/>
          <w:sz w:val="20"/>
        </w:rPr>
      </w:pPr>
      <w:r>
        <w:rPr>
          <w:rFonts w:ascii="Times New Roman" w:hAnsi="Times New Roman"/>
          <w:sz w:val="20"/>
        </w:rPr>
        <w:t>The undersigned (the “</w:t>
      </w:r>
      <w:r>
        <w:rPr>
          <w:rFonts w:ascii="Times New Roman" w:hAnsi="Times New Roman"/>
          <w:b/>
          <w:sz w:val="20"/>
        </w:rPr>
        <w:t>Selling Securityholder</w:t>
      </w:r>
      <w:r>
        <w:rPr>
          <w:rFonts w:ascii="Times New Roman" w:hAnsi="Times New Roman"/>
          <w:sz w:val="20"/>
        </w:rPr>
        <w:t>”) beneficial holder of 2.25% Exchangeable Senior Notes due 2031 (the “</w:t>
      </w:r>
      <w:r>
        <w:rPr>
          <w:rFonts w:ascii="Times New Roman" w:hAnsi="Times New Roman"/>
          <w:b/>
          <w:sz w:val="20"/>
        </w:rPr>
        <w:t>Notes</w:t>
      </w:r>
      <w:r>
        <w:rPr>
          <w:rFonts w:ascii="Times New Roman" w:hAnsi="Times New Roman"/>
          <w:sz w:val="20"/>
        </w:rPr>
        <w:t>”) of The Macerich Partnership, L.P., a Delaware limited partnership (the “</w:t>
      </w:r>
      <w:r>
        <w:rPr>
          <w:rFonts w:ascii="Times New Roman" w:hAnsi="Times New Roman"/>
          <w:b/>
          <w:sz w:val="20"/>
        </w:rPr>
        <w:t>Partnership</w:t>
      </w:r>
      <w:r>
        <w:rPr>
          <w:rFonts w:ascii="Times New Roman" w:hAnsi="Times New Roman"/>
          <w:sz w:val="20"/>
        </w:rPr>
        <w:t>”), and the related guarantee of The Macerich Company, a Maryland corporation (the “</w:t>
      </w:r>
      <w:r>
        <w:rPr>
          <w:rFonts w:ascii="Times New Roman" w:hAnsi="Times New Roman"/>
          <w:b/>
          <w:sz w:val="20"/>
        </w:rPr>
        <w:t>Parent Guarantor</w:t>
      </w:r>
      <w:r>
        <w:rPr>
          <w:rFonts w:ascii="Times New Roman" w:hAnsi="Times New Roman"/>
          <w:sz w:val="20"/>
        </w:rPr>
        <w:t>” and together with the Partnership, the “</w:t>
      </w:r>
      <w:r>
        <w:rPr>
          <w:rFonts w:ascii="Times New Roman" w:hAnsi="Times New Roman"/>
          <w:b/>
          <w:sz w:val="20"/>
        </w:rPr>
        <w:t>Issuers</w:t>
      </w:r>
      <w:r>
        <w:rPr>
          <w:rFonts w:ascii="Times New Roman" w:hAnsi="Times New Roman"/>
          <w:sz w:val="20"/>
        </w:rPr>
        <w:t>”), or of the Parent Guarantor’s common stock, par value $0.01 per share (the “</w:t>
      </w:r>
      <w:r>
        <w:rPr>
          <w:rFonts w:ascii="Times New Roman" w:hAnsi="Times New Roman"/>
          <w:b/>
          <w:sz w:val="20"/>
        </w:rPr>
        <w:t>Common Stock</w:t>
      </w:r>
      <w:r>
        <w:rPr>
          <w:rFonts w:ascii="Times New Roman" w:hAnsi="Times New Roman"/>
          <w:sz w:val="20"/>
        </w:rPr>
        <w:t>”), or of other Registrable Securities (as defined in the Registration Rights Agreement referred to below) understands that the Parent Guarantor has filed, or intends to file, with the Securities and Exchange Commission (the “</w:t>
      </w:r>
      <w:r>
        <w:rPr>
          <w:rFonts w:ascii="Times New Roman" w:hAnsi="Times New Roman"/>
          <w:b/>
          <w:sz w:val="20"/>
        </w:rPr>
        <w:t>SEC</w:t>
      </w:r>
      <w:r>
        <w:rPr>
          <w:rFonts w:ascii="Times New Roman" w:hAnsi="Times New Roman"/>
          <w:sz w:val="20"/>
        </w:rPr>
        <w:t>”) one or more registration statements (each, a “</w:t>
      </w:r>
      <w:r>
        <w:rPr>
          <w:rFonts w:ascii="Times New Roman" w:hAnsi="Times New Roman"/>
          <w:b/>
          <w:sz w:val="20"/>
        </w:rPr>
        <w:t>Resale Registration Statement</w:t>
      </w:r>
      <w:r>
        <w:rPr>
          <w:rFonts w:ascii="Times New Roman" w:hAnsi="Times New Roman"/>
          <w:sz w:val="20"/>
        </w:rPr>
        <w:t>”) under the Securities Act of 1933, as amended (the “</w:t>
      </w:r>
      <w:r>
        <w:rPr>
          <w:rFonts w:ascii="Times New Roman" w:hAnsi="Times New Roman"/>
          <w:b/>
          <w:sz w:val="20"/>
        </w:rPr>
        <w:t>Securities Act</w:t>
      </w:r>
      <w:r>
        <w:rPr>
          <w:rFonts w:ascii="Times New Roman" w:hAnsi="Times New Roman"/>
          <w:sz w:val="20"/>
        </w:rPr>
        <w:t>”), to register the resale of Registrable Securities, in accordance with the terms of the Registration Rights Agreement, dated as of August 11, 2026, among the Partnership, the Parent Guarantor and the initial purchasers named therein (the “</w:t>
      </w:r>
      <w:r>
        <w:rPr>
          <w:rFonts w:ascii="Times New Roman" w:hAnsi="Times New Roman"/>
          <w:b/>
          <w:sz w:val="20"/>
        </w:rPr>
        <w:t>Registration Rights Agreement</w:t>
      </w:r>
      <w:r>
        <w:rPr>
          <w:rFonts w:ascii="Times New Roman" w:hAnsi="Times New Roman"/>
          <w:sz w:val="20"/>
        </w:rPr>
        <w:t xml:space="preserve">”). The Parent Guarantor will provide a copy of the Registration Rights Agreement upon request at the address set forth below. All capitalized terms used in this Notice and Questionnaire without definition have the respective meanings given to them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To sell or otherwise dispose of any Registrable Securities pursuant to the Resale Registration Statement, the beneficial owner of those Registrable Securities generally must be named as a selling securityholder in the related prospectus or prospectus supplement, deliver a prospectus to the purchasers of such Registrable Securities and be bound by those provisions of the Registration Rights Agreement applicable to such beneficial owner (including certain indemnification provisions, as described below). Beneficial owners that do not complete this Notice and Questionnaire and deliver it to the Parent Guarantor as provided below will not be named as selling securityholders in the prospectus and will not be permitted to sell any Registrable Securities pursuant to the Resale Registration Statement. Beneficial owners are encouraged to complete and deliver this Notice and Questionnaire as soon as possible. </w:t>
      </w:r>
    </w:p>
    <w:p>
      <w:pPr>
        <w:pStyle w:val="TextBody"/>
        <w:bidi w:val="0"/>
        <w:spacing w:before="240" w:after="0"/>
        <w:jc w:val="left"/>
        <w:rPr>
          <w:rFonts w:ascii="Times New Roman" w:hAnsi="Times New Roman"/>
          <w:sz w:val="20"/>
        </w:rPr>
      </w:pPr>
      <w:r>
        <w:rPr>
          <w:rFonts w:ascii="Times New Roman" w:hAnsi="Times New Roman"/>
          <w:sz w:val="20"/>
        </w:rPr>
        <w:t xml:space="preserve">Certain legal consequences arise from being named as a selling securityholder in a Resale Registration Statement and the related prospectus. Accordingly, registered holders and beneficial owners of Registrable Securities should consult their legal counsel regarding the consequences of being named or not being named as a selling securityholder in a Resale Registration Statement and the related prospectus.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 xml:space="preserve">By signing and returning this Notice and Questionnaire, the Selling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notifies the Issuers of its intention to sell or otherwise dispose of Registrable Securities beneficially owned by it and listed below in Item 3 (except as otherwise specified under such Item 3) pursuant to the Resale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agrees to be bound by the terms and conditions of this Notice and Questionnaire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Pursuant to the Registration Rights Agreement, the Selling Securityholder has agreed to indemnify and hold harmless the Issuers and their respective affiliates, the partners, directors, officers, members, stockholders, employees, advisors or other representatives of the Issuers or their respective affiliates, and each person, if any, who controls either Issuer within the meaning of Section 15 of the Securities Act or Section 20 of the Securities Exchange Act of 1934, as amended (the “</w:t>
      </w:r>
      <w:r>
        <w:rPr>
          <w:rFonts w:ascii="Times New Roman" w:hAnsi="Times New Roman"/>
          <w:b/>
          <w:sz w:val="20"/>
        </w:rPr>
        <w:t>Exchange Act</w:t>
      </w:r>
      <w:r>
        <w:rPr>
          <w:rFonts w:ascii="Times New Roman" w:hAnsi="Times New Roman"/>
          <w:sz w:val="20"/>
        </w:rPr>
        <w:t xml:space="preserve">”), from and against certain claims and losses arising in connection with (i) sales by the Selling Securityholder of Registrable Securities pursuant to the Resale Registration Statement either (x) during a Blackout Period of which the Parent Guarantor has provided notice to the Selling Securityholder; or (y) without delivering, if required by the Securities Act, the most recent prospectus relating to the Resale Registration Statement; or (ii) statements or omissions concerning the Selling Securityholder made in the Resale Registration Statement or the related prospectus in reliance upon the information provided in this Notice and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Selling Securityholder hereby provides the following information to the Issuers and represents and warrants that such information is accurate and complete: </w:t>
      </w:r>
    </w:p>
    <w:p>
      <w:pPr>
        <w:pStyle w:val="TextBody"/>
        <w:bidi w:val="0"/>
        <w:spacing w:before="48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Selling Securityholder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the Selling Securityholder: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Registrable Securities listed in Item 3(b) below are held in certificated form and not “in street name,” state the full legal name of the registered holder through which the Registrable Securities listed in Item 3(b) below are held: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Registrable Securities listed in Item 3(b) below are held “in street name,” state the full legal name of the Depository Trust Company participant through which the Registrable Securities listed in Item 3(b) below are held: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 identification or social security number of the Selling Securityholder: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Address and Contact Information for Notices to the Selling Securityholder</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
        <w:gridCol w:w="161"/>
        <w:gridCol w:w="9731"/>
      </w:tblGrid>
      <w:tr>
        <w:trPr/>
        <w:tc>
          <w:tcPr>
            <w:tcW w:w="31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9731" w:type="dxa"/>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9892" w:type="dxa"/>
            <w:gridSpan w:val="2"/>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9892" w:type="dxa"/>
            <w:gridSpan w:val="2"/>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1452"/>
        <w:gridCol w:w="120"/>
        <w:gridCol w:w="8224"/>
      </w:tblGrid>
      <w:tr>
        <w:trPr/>
        <w:tc>
          <w:tcPr>
            <w:tcW w:w="14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24" w:type="dxa"/>
            <w:tcBorders/>
            <w:vAlign w:val="center"/>
          </w:tcPr>
          <w:p>
            <w:pPr>
              <w:pStyle w:val="TableContents"/>
              <w:bidi w:val="0"/>
              <w:spacing w:before="0" w:after="283"/>
              <w:jc w:val="left"/>
              <w:rPr>
                <w:sz w:val="4"/>
                <w:szCs w:val="4"/>
              </w:rPr>
            </w:pPr>
            <w:r>
              <w:rPr>
                <w:sz w:val="4"/>
                <w:szCs w:val="4"/>
              </w:rPr>
            </w:r>
          </w:p>
        </w:tc>
      </w:tr>
      <w:tr>
        <w:trPr/>
        <w:tc>
          <w:tcPr>
            <w:tcW w:w="1452" w:type="dxa"/>
            <w:tcBorders/>
          </w:tcPr>
          <w:p>
            <w:pPr>
              <w:pStyle w:val="TableContents"/>
              <w:bidi w:val="0"/>
              <w:spacing w:before="0" w:after="283"/>
              <w:jc w:val="left"/>
              <w:rPr/>
            </w:pPr>
            <w:r>
              <w:rPr/>
              <w:t>Telephone: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24"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452" w:type="dxa"/>
            <w:tcBorders/>
            <w:vAlign w:val="center"/>
          </w:tcPr>
          <w:p>
            <w:pPr>
              <w:pStyle w:val="TableContents"/>
              <w:bidi w:val="0"/>
              <w:spacing w:before="0" w:after="283"/>
              <w:jc w:val="left"/>
              <w:rPr>
                <w:sz w:val="4"/>
                <w:szCs w:val="4"/>
              </w:rPr>
            </w:pPr>
            <w:r>
              <w:rPr>
                <w:sz w:val="4"/>
                <w:szCs w:val="4"/>
              </w:rPr>
            </w:r>
          </w:p>
        </w:tc>
        <w:tc>
          <w:tcPr>
            <w:tcW w:w="8344" w:type="dxa"/>
            <w:gridSpan w:val="2"/>
            <w:tcBorders/>
            <w:vAlign w:val="center"/>
          </w:tcPr>
          <w:p>
            <w:pPr>
              <w:pStyle w:val="TableContents"/>
              <w:bidi w:val="0"/>
              <w:spacing w:before="0" w:after="283"/>
              <w:jc w:val="left"/>
              <w:rPr>
                <w:sz w:val="4"/>
                <w:szCs w:val="4"/>
              </w:rPr>
            </w:pPr>
            <w:r>
              <w:rPr>
                <w:sz w:val="4"/>
                <w:szCs w:val="4"/>
              </w:rPr>
            </w:r>
          </w:p>
        </w:tc>
      </w:tr>
      <w:tr>
        <w:trPr/>
        <w:tc>
          <w:tcPr>
            <w:tcW w:w="1452" w:type="dxa"/>
            <w:tcBorders/>
          </w:tcPr>
          <w:p>
            <w:pPr>
              <w:pStyle w:val="TableContents"/>
              <w:bidi w:val="0"/>
              <w:spacing w:before="0" w:after="283"/>
              <w:jc w:val="left"/>
              <w:rPr/>
            </w:pPr>
            <w:r>
              <w:rPr/>
              <w:t>Fax:</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24"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452" w:type="dxa"/>
            <w:tcBorders/>
            <w:vAlign w:val="center"/>
          </w:tcPr>
          <w:p>
            <w:pPr>
              <w:pStyle w:val="TableContents"/>
              <w:bidi w:val="0"/>
              <w:spacing w:before="0" w:after="283"/>
              <w:jc w:val="left"/>
              <w:rPr>
                <w:sz w:val="4"/>
                <w:szCs w:val="4"/>
              </w:rPr>
            </w:pPr>
            <w:r>
              <w:rPr>
                <w:sz w:val="4"/>
                <w:szCs w:val="4"/>
              </w:rPr>
            </w:r>
          </w:p>
        </w:tc>
        <w:tc>
          <w:tcPr>
            <w:tcW w:w="8344" w:type="dxa"/>
            <w:gridSpan w:val="2"/>
            <w:tcBorders/>
            <w:vAlign w:val="center"/>
          </w:tcPr>
          <w:p>
            <w:pPr>
              <w:pStyle w:val="TableContents"/>
              <w:bidi w:val="0"/>
              <w:spacing w:before="0" w:after="283"/>
              <w:jc w:val="left"/>
              <w:rPr>
                <w:sz w:val="4"/>
                <w:szCs w:val="4"/>
              </w:rPr>
            </w:pPr>
            <w:r>
              <w:rPr>
                <w:sz w:val="4"/>
                <w:szCs w:val="4"/>
              </w:rPr>
            </w:r>
          </w:p>
        </w:tc>
      </w:tr>
      <w:tr>
        <w:trPr/>
        <w:tc>
          <w:tcPr>
            <w:tcW w:w="1452" w:type="dxa"/>
            <w:tcBorders/>
          </w:tcPr>
          <w:p>
            <w:pPr>
              <w:pStyle w:val="TableContents"/>
              <w:bidi w:val="0"/>
              <w:spacing w:before="0" w:after="283"/>
              <w:jc w:val="left"/>
              <w:rPr/>
            </w:pPr>
            <w:r>
              <w:rPr/>
              <w:t>Email Address: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24"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452" w:type="dxa"/>
            <w:tcBorders/>
            <w:vAlign w:val="center"/>
          </w:tcPr>
          <w:p>
            <w:pPr>
              <w:pStyle w:val="TableContents"/>
              <w:bidi w:val="0"/>
              <w:spacing w:before="0" w:after="283"/>
              <w:jc w:val="left"/>
              <w:rPr>
                <w:sz w:val="4"/>
                <w:szCs w:val="4"/>
              </w:rPr>
            </w:pPr>
            <w:r>
              <w:rPr>
                <w:sz w:val="4"/>
                <w:szCs w:val="4"/>
              </w:rPr>
            </w:r>
          </w:p>
        </w:tc>
        <w:tc>
          <w:tcPr>
            <w:tcW w:w="8344" w:type="dxa"/>
            <w:gridSpan w:val="2"/>
            <w:tcBorders/>
            <w:vAlign w:val="center"/>
          </w:tcPr>
          <w:p>
            <w:pPr>
              <w:pStyle w:val="TableContents"/>
              <w:bidi w:val="0"/>
              <w:spacing w:before="0" w:after="283"/>
              <w:jc w:val="left"/>
              <w:rPr>
                <w:sz w:val="4"/>
                <w:szCs w:val="4"/>
              </w:rPr>
            </w:pPr>
            <w:r>
              <w:rPr>
                <w:sz w:val="4"/>
                <w:szCs w:val="4"/>
              </w:rPr>
            </w:r>
          </w:p>
        </w:tc>
      </w:tr>
      <w:tr>
        <w:trPr/>
        <w:tc>
          <w:tcPr>
            <w:tcW w:w="1452" w:type="dxa"/>
            <w:tcBorders/>
          </w:tcPr>
          <w:p>
            <w:pPr>
              <w:pStyle w:val="TableContents"/>
              <w:bidi w:val="0"/>
              <w:spacing w:before="0" w:after="283"/>
              <w:jc w:val="left"/>
              <w:rPr/>
            </w:pPr>
            <w:r>
              <w:rPr/>
              <w:t>Contact Person:</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2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Beneficial Ownership of Notes and Common Stock Delivered Upon Exchange of Notes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Check each of the following that applies to the Selling Securityholder.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63"/>
        <w:gridCol w:w="120"/>
        <w:gridCol w:w="1870"/>
        <w:gridCol w:w="120"/>
        <w:gridCol w:w="7123"/>
      </w:tblGrid>
      <w:tr>
        <w:trPr/>
        <w:tc>
          <w:tcPr>
            <w:tcW w:w="5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23" w:type="dxa"/>
            <w:tcBorders/>
            <w:vAlign w:val="center"/>
          </w:tcPr>
          <w:p>
            <w:pPr>
              <w:pStyle w:val="TableContents"/>
              <w:bidi w:val="0"/>
              <w:spacing w:before="0" w:after="283"/>
              <w:jc w:val="left"/>
              <w:rPr>
                <w:sz w:val="4"/>
                <w:szCs w:val="4"/>
              </w:rPr>
            </w:pPr>
            <w:r>
              <w:rPr>
                <w:sz w:val="4"/>
                <w:szCs w:val="4"/>
              </w:rPr>
            </w:r>
          </w:p>
        </w:tc>
      </w:tr>
      <w:tr>
        <w:trPr/>
        <w:tc>
          <w:tcPr>
            <w:tcW w:w="563" w:type="dxa"/>
            <w:tcBorders/>
          </w:tcPr>
          <w:p>
            <w:pPr>
              <w:pStyle w:val="TableContents"/>
              <w:bidi w:val="0"/>
              <w:spacing w:before="0" w:after="283"/>
              <w:jc w:val="left"/>
              <w:rPr/>
            </w:pPr>
            <w:r>
              <w:rPr/>
              <w:t>(a) ☐</w:t>
            </w:r>
          </w:p>
        </w:tc>
        <w:tc>
          <w:tcPr>
            <w:tcW w:w="120" w:type="dxa"/>
            <w:tcBorders/>
            <w:vAlign w:val="bottom"/>
          </w:tcPr>
          <w:p>
            <w:pPr>
              <w:pStyle w:val="TableContents"/>
              <w:bidi w:val="0"/>
              <w:spacing w:before="0" w:after="283"/>
              <w:jc w:val="left"/>
              <w:rPr/>
            </w:pPr>
            <w:r>
              <w:rPr/>
              <w:t>  </w:t>
            </w:r>
          </w:p>
        </w:tc>
        <w:tc>
          <w:tcPr>
            <w:tcW w:w="9113" w:type="dxa"/>
            <w:gridSpan w:val="3"/>
            <w:tcBorders/>
          </w:tcPr>
          <w:p>
            <w:pPr>
              <w:pStyle w:val="TableContents"/>
              <w:bidi w:val="0"/>
              <w:spacing w:before="0" w:after="283"/>
              <w:jc w:val="left"/>
              <w:rPr/>
            </w:pPr>
            <w:r>
              <w:rPr/>
              <w:t>The Selling Securityholder owns Notes:</w:t>
            </w:r>
          </w:p>
        </w:tc>
      </w:tr>
      <w:tr>
        <w:trPr>
          <w:trHeight w:val="120" w:hRule="atLeast"/>
        </w:trPr>
        <w:tc>
          <w:tcPr>
            <w:tcW w:w="563" w:type="dxa"/>
            <w:tcBorders/>
            <w:vAlign w:val="center"/>
          </w:tcPr>
          <w:p>
            <w:pPr>
              <w:pStyle w:val="TableContents"/>
              <w:bidi w:val="0"/>
              <w:spacing w:before="0" w:after="283"/>
              <w:jc w:val="left"/>
              <w:rPr>
                <w:sz w:val="4"/>
                <w:szCs w:val="4"/>
              </w:rPr>
            </w:pPr>
            <w:r>
              <w:rPr>
                <w:sz w:val="4"/>
                <w:szCs w:val="4"/>
              </w:rPr>
            </w:r>
          </w:p>
        </w:tc>
        <w:tc>
          <w:tcPr>
            <w:tcW w:w="1990"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5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70" w:type="dxa"/>
            <w:tcBorders/>
          </w:tcPr>
          <w:p>
            <w:pPr>
              <w:pStyle w:val="TableContents"/>
              <w:bidi w:val="0"/>
              <w:spacing w:before="0" w:after="283"/>
              <w:jc w:val="left"/>
              <w:rPr/>
            </w:pPr>
            <w:r>
              <w:rPr/>
              <w:t>Principal Amount: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7123"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563" w:type="dxa"/>
            <w:tcBorders/>
            <w:vAlign w:val="center"/>
          </w:tcPr>
          <w:p>
            <w:pPr>
              <w:pStyle w:val="TableContents"/>
              <w:bidi w:val="0"/>
              <w:spacing w:before="0" w:after="283"/>
              <w:jc w:val="left"/>
              <w:rPr>
                <w:sz w:val="4"/>
                <w:szCs w:val="4"/>
              </w:rPr>
            </w:pPr>
            <w:r>
              <w:rPr>
                <w:sz w:val="4"/>
                <w:szCs w:val="4"/>
              </w:rPr>
            </w:r>
          </w:p>
        </w:tc>
        <w:tc>
          <w:tcPr>
            <w:tcW w:w="1990"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5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70" w:type="dxa"/>
            <w:tcBorders/>
          </w:tcPr>
          <w:p>
            <w:pPr>
              <w:pStyle w:val="TableContents"/>
              <w:bidi w:val="0"/>
              <w:spacing w:before="0" w:after="283"/>
              <w:jc w:val="left"/>
              <w:rPr/>
            </w:pPr>
            <w:r>
              <w:rPr/>
              <w:t>CUSIP No(s). (If Any):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7123" w:type="dxa"/>
            <w:tcBorders>
              <w:bottom w:val="single" w:sz="2" w:space="0" w:color="000000"/>
            </w:tcBorders>
            <w:tcMar>
              <w:bottom w:w="28" w:type="dxa"/>
            </w:tcMar>
          </w:tcPr>
          <w:p>
            <w:pPr>
              <w:pStyle w:val="TableContents"/>
              <w:bidi w:val="0"/>
              <w:spacing w:before="0" w:after="283"/>
              <w:jc w:val="left"/>
              <w:rPr/>
            </w:pPr>
            <w:r>
              <w:rPr/>
              <w:t> </w:t>
            </w:r>
          </w:p>
        </w:tc>
      </w:tr>
      <w:tr>
        <w:trPr>
          <w:trHeight w:val="195" w:hRule="atLeast"/>
        </w:trPr>
        <w:tc>
          <w:tcPr>
            <w:tcW w:w="563" w:type="dxa"/>
            <w:tcBorders/>
            <w:vAlign w:val="center"/>
          </w:tcPr>
          <w:p>
            <w:pPr>
              <w:pStyle w:val="TableContents"/>
              <w:bidi w:val="0"/>
              <w:spacing w:before="0" w:after="283"/>
              <w:jc w:val="left"/>
              <w:rPr>
                <w:sz w:val="4"/>
                <w:szCs w:val="4"/>
              </w:rPr>
            </w:pPr>
            <w:r>
              <w:rPr>
                <w:sz w:val="4"/>
                <w:szCs w:val="4"/>
              </w:rPr>
            </w:r>
          </w:p>
        </w:tc>
        <w:tc>
          <w:tcPr>
            <w:tcW w:w="9233" w:type="dxa"/>
            <w:gridSpan w:val="4"/>
            <w:tcBorders/>
            <w:vAlign w:val="center"/>
          </w:tcPr>
          <w:p>
            <w:pPr>
              <w:pStyle w:val="TableContents"/>
              <w:bidi w:val="0"/>
              <w:spacing w:before="0" w:after="283"/>
              <w:jc w:val="left"/>
              <w:rPr>
                <w:sz w:val="4"/>
                <w:szCs w:val="4"/>
              </w:rPr>
            </w:pPr>
            <w:r>
              <w:rPr>
                <w:sz w:val="4"/>
                <w:szCs w:val="4"/>
              </w:rPr>
            </w:r>
          </w:p>
        </w:tc>
      </w:tr>
      <w:tr>
        <w:trPr/>
        <w:tc>
          <w:tcPr>
            <w:tcW w:w="563" w:type="dxa"/>
            <w:tcBorders/>
          </w:tcPr>
          <w:p>
            <w:pPr>
              <w:pStyle w:val="TableContents"/>
              <w:bidi w:val="0"/>
              <w:spacing w:before="0" w:after="283"/>
              <w:jc w:val="left"/>
              <w:rPr/>
            </w:pPr>
            <w:r>
              <w:rPr/>
              <w:t>(b) ☐</w:t>
            </w:r>
          </w:p>
        </w:tc>
        <w:tc>
          <w:tcPr>
            <w:tcW w:w="120" w:type="dxa"/>
            <w:tcBorders/>
            <w:vAlign w:val="bottom"/>
          </w:tcPr>
          <w:p>
            <w:pPr>
              <w:pStyle w:val="TableContents"/>
              <w:bidi w:val="0"/>
              <w:spacing w:before="0" w:after="283"/>
              <w:jc w:val="left"/>
              <w:rPr/>
            </w:pPr>
            <w:r>
              <w:rPr/>
              <w:t>  </w:t>
            </w:r>
          </w:p>
        </w:tc>
        <w:tc>
          <w:tcPr>
            <w:tcW w:w="9113" w:type="dxa"/>
            <w:gridSpan w:val="3"/>
            <w:tcBorders/>
          </w:tcPr>
          <w:p>
            <w:pPr>
              <w:pStyle w:val="TableContents"/>
              <w:bidi w:val="0"/>
              <w:spacing w:before="0" w:after="283"/>
              <w:jc w:val="left"/>
              <w:rPr/>
            </w:pPr>
            <w:r>
              <w:rPr/>
              <w:t>The Selling Securityholder owns shares of Common Stock that were delivered upon exchange of the Notes:</w:t>
            </w:r>
          </w:p>
        </w:tc>
      </w:tr>
      <w:tr>
        <w:trPr>
          <w:trHeight w:val="120" w:hRule="atLeast"/>
        </w:trPr>
        <w:tc>
          <w:tcPr>
            <w:tcW w:w="563" w:type="dxa"/>
            <w:tcBorders/>
            <w:vAlign w:val="center"/>
          </w:tcPr>
          <w:p>
            <w:pPr>
              <w:pStyle w:val="TableContents"/>
              <w:bidi w:val="0"/>
              <w:spacing w:before="0" w:after="283"/>
              <w:jc w:val="left"/>
              <w:rPr>
                <w:sz w:val="4"/>
                <w:szCs w:val="4"/>
              </w:rPr>
            </w:pPr>
            <w:r>
              <w:rPr>
                <w:sz w:val="4"/>
                <w:szCs w:val="4"/>
              </w:rPr>
            </w:r>
          </w:p>
        </w:tc>
        <w:tc>
          <w:tcPr>
            <w:tcW w:w="1990"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5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70" w:type="dxa"/>
            <w:tcBorders/>
          </w:tcPr>
          <w:p>
            <w:pPr>
              <w:pStyle w:val="TableContents"/>
              <w:bidi w:val="0"/>
              <w:spacing w:before="0" w:after="283"/>
              <w:jc w:val="left"/>
              <w:rPr/>
            </w:pPr>
            <w:r>
              <w:rPr/>
              <w:t>Number of Shares: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7123"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563" w:type="dxa"/>
            <w:tcBorders/>
            <w:vAlign w:val="center"/>
          </w:tcPr>
          <w:p>
            <w:pPr>
              <w:pStyle w:val="TableContents"/>
              <w:bidi w:val="0"/>
              <w:spacing w:before="0" w:after="283"/>
              <w:jc w:val="left"/>
              <w:rPr>
                <w:sz w:val="4"/>
                <w:szCs w:val="4"/>
              </w:rPr>
            </w:pPr>
            <w:r>
              <w:rPr>
                <w:sz w:val="4"/>
                <w:szCs w:val="4"/>
              </w:rPr>
            </w:r>
          </w:p>
        </w:tc>
        <w:tc>
          <w:tcPr>
            <w:tcW w:w="1990"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5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70" w:type="dxa"/>
            <w:tcBorders/>
          </w:tcPr>
          <w:p>
            <w:pPr>
              <w:pStyle w:val="TableContents"/>
              <w:bidi w:val="0"/>
              <w:spacing w:before="0" w:after="283"/>
              <w:jc w:val="left"/>
              <w:rPr/>
            </w:pPr>
            <w:r>
              <w:rPr/>
              <w:t>CUSIP No(s). (If Any):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712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Beneficial Ownership of Other Securities of either Issuer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in this Item 4, the Selling Securityholder is not the beneficial or registered owner of any securities of either Issuer other than the securities listed in Item 3 above. </w:t>
      </w:r>
    </w:p>
    <w:p>
      <w:pPr>
        <w:pStyle w:val="TextBody"/>
        <w:bidi w:val="0"/>
        <w:spacing w:before="120" w:after="0"/>
        <w:jc w:val="left"/>
        <w:rPr>
          <w:rFonts w:ascii="Times New Roman" w:hAnsi="Times New Roman"/>
          <w:sz w:val="20"/>
        </w:rPr>
      </w:pPr>
      <w:r>
        <w:rPr>
          <w:rFonts w:ascii="Times New Roman" w:hAnsi="Times New Roman"/>
          <w:sz w:val="20"/>
        </w:rPr>
        <w:t xml:space="preserve">Type and amount of other securities beneficially owned by the Selling Securityholder: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5"/>
        <w:gridCol w:w="120"/>
        <w:gridCol w:w="3313"/>
        <w:gridCol w:w="120"/>
        <w:gridCol w:w="3127"/>
      </w:tblGrid>
      <w:tr>
        <w:trPr/>
        <w:tc>
          <w:tcPr>
            <w:tcW w:w="35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r>
      <w:tr>
        <w:trPr/>
        <w:tc>
          <w:tcPr>
            <w:tcW w:w="3525" w:type="dxa"/>
            <w:tcBorders/>
            <w:vAlign w:val="bottom"/>
          </w:tcPr>
          <w:p>
            <w:pPr>
              <w:pStyle w:val="TableContents"/>
              <w:bidi w:val="0"/>
              <w:spacing w:before="0" w:after="283"/>
              <w:jc w:val="center"/>
              <w:rPr/>
            </w:pPr>
            <w:r>
              <w:rPr/>
              <w:t>Title of Security</w:t>
            </w:r>
          </w:p>
        </w:tc>
        <w:tc>
          <w:tcPr>
            <w:tcW w:w="120" w:type="dxa"/>
            <w:tcBorders/>
            <w:vAlign w:val="bottom"/>
          </w:tcPr>
          <w:p>
            <w:pPr>
              <w:pStyle w:val="TableContents"/>
              <w:bidi w:val="0"/>
              <w:spacing w:before="0" w:after="283"/>
              <w:jc w:val="left"/>
              <w:rPr/>
            </w:pPr>
            <w:r>
              <w:rPr/>
              <w:t>  </w:t>
            </w:r>
          </w:p>
        </w:tc>
        <w:tc>
          <w:tcPr>
            <w:tcW w:w="3313" w:type="dxa"/>
            <w:tcBorders/>
            <w:vAlign w:val="bottom"/>
          </w:tcPr>
          <w:p>
            <w:pPr>
              <w:pStyle w:val="TableContents"/>
              <w:bidi w:val="0"/>
              <w:spacing w:before="0" w:after="283"/>
              <w:jc w:val="center"/>
              <w:rPr/>
            </w:pPr>
            <w:r>
              <w:rPr/>
              <w:t>Amount Beneficially Owned</w:t>
            </w:r>
          </w:p>
        </w:tc>
        <w:tc>
          <w:tcPr>
            <w:tcW w:w="120" w:type="dxa"/>
            <w:tcBorders/>
            <w:vAlign w:val="bottom"/>
          </w:tcPr>
          <w:p>
            <w:pPr>
              <w:pStyle w:val="TableContents"/>
              <w:bidi w:val="0"/>
              <w:spacing w:before="0" w:after="283"/>
              <w:jc w:val="left"/>
              <w:rPr/>
            </w:pPr>
            <w:r>
              <w:rPr/>
              <w:t>  </w:t>
            </w:r>
          </w:p>
        </w:tc>
        <w:tc>
          <w:tcPr>
            <w:tcW w:w="3127" w:type="dxa"/>
            <w:tcBorders/>
            <w:vAlign w:val="bottom"/>
          </w:tcPr>
          <w:p>
            <w:pPr>
              <w:pStyle w:val="TableContents"/>
              <w:bidi w:val="0"/>
              <w:spacing w:before="0" w:after="283"/>
              <w:jc w:val="center"/>
              <w:rPr/>
            </w:pPr>
            <w:r>
              <w:rPr/>
              <w:t>CUSIP No(s). (If Any)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
        <w:gridCol w:w="161"/>
        <w:gridCol w:w="9731"/>
      </w:tblGrid>
      <w:tr>
        <w:trPr/>
        <w:tc>
          <w:tcPr>
            <w:tcW w:w="31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9731" w:type="dxa"/>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9892" w:type="dxa"/>
            <w:gridSpan w:val="2"/>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9892" w:type="dxa"/>
            <w:gridSpan w:val="2"/>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9892" w:type="dxa"/>
            <w:gridSpan w:val="2"/>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Relationships with either Issuer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the Selling Securityholder or any of its affiliates, officers, directors or principal equity holders (owners of 5% or more of the equity securities of the Selling Securityholder) held any position or office or had any other material relationship with either Issuer (or any of their respective predecessors or affiliates) during the past three years?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(a) above is “Yes,” then please state the nature and duration of the relationship: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Plan of Distribution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Check the following box confirming the intended plan of distribution of the Registrable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Securityholder (including its donees and pledgees) does not intend to distribute the Registrable Securities listed in Item 3(b) above pursuant to the Resale Registration Statement except as follows (if at all):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Registrable Securities may be sold from time to time directly by the Selling Securityholder or, alternatively, through underwriters, broker-dealers or agents. If the Registrable Securities are sold through broker-dealers or agents, the Selling Securityholder will be responsible for underwriting discounts or commissions or agents’ commissions. The Registrable Securities may be sold in one or more transactions at fixed prices, at prevailing market prices at the time of sale, at varying prices determined at the time of sale or at negotiated prices. Such sales may be effected in transactions (which may involve block transactions) (1) on any national securities exchange or quotation service on which the Registrable Securities may be listed or quoted at the time of sale; (2) in the over-the-counter market; (3) otherwise than on such exchanges or services or in the over-the-counter market; or (4) through the writing of options. In connection with sales of the Registrable Securities or otherwise, the Selling Securityholder may enter into hedging transactions with broker-dealers, which may in turn engage in short sales of the Registrable Securities in the course of the hedging positions they assume. The Selling Securityholder may also sell Registrable Securities short and deliver Registrable Securities to close out short positions or loan or pledge Registrable Securities to broker-dealers that in turn may sell such securities. Notwithstanding anything to the contrary, in no event will the methods of distribution take the form of an underwritten offering of the Registrable Securities without the prior agreement of the Parent Guarantor.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Broker-Dealers and Their Affiliates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Parent Guarantor may have to identify the Selling Securityholder as an underwriter in the Resale Registration Statement or related prospectus if: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 is a broker-dealer and did not receive the Registrable Securities as compensation for underwriting activities or investment banking services or as investment securities; or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 is an affiliate of a broker-dealer and either (1) did not acquire the Registrable Securities in the ordinary course of business; or (2) at the time of its purchase of the Registrable Securities, had an agreement or understanding, directly or indirectly, with any person to distribute the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Persons identified as underwriters in a Resale Registration Statement or related prospectus may be subject to additional potential liabilities under the Securities Act and should consult their legal counsel before submitting this Notice and Questionnaire.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Selling Securityholder a broker-dealer registered pursuant to Section 15 of the Exchange Act?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(a) above is “No,” is the Selling Securityholder an “affiliate” of a broker-dealer that is registered pursuant to Section 15 of the Exchange Act?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Item 7(b), an “affiliate” of a registered broker-dealer includes any company that directly, or indirectly through one or more intermediaries, controls, or is controlled by, or is under common control with, such broker-dealer.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the Selling Securityholder acquire the securities listed in Item 3 above in the ordinary course of business?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Selling Securityholder’s purchase of the securities listed in Item 3 above, did the Selling Securityholder have any agreements or understandings, directly or indirectly, with any person to distribute the securities?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(d) above is “Yes,” then please describe such agreements or understandings: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the Selling Securityholder receive the securities listed in Item 3 above as compensation for underwriting activities or investment banking services or as investment securities?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(f) above is “Yes,” then please describe the circumstances: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Nature of Beneficial Ownership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purpose of this section is to identify the ultimate natural person(s) or publicly held entity(ies) that exercise(s) sole or shared voting or dispositive power over the Registrable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Selling Securityholder a natural person?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Selling Securityholder required to file, or is it a wholly owned subsidiary of an entity that is required to file, periodic and other reports (for example, Forms 10-K, 10-Q and 8-K) with the SEC pursuant to Section 13(a) or 15(d) of the Exchange Act?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Selling Securityholder an investment company, or a subsidiary of an investment company, registered under the Investment Company Act of 1940, as amended?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Selling Securityholder is a subsidiary of such an investment company, please identify the investment company: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below the name of each natural person or entity that has sole or shared investment or voting control over the securities listed in Item 3 above: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PLEASE NOTE THAT THE SEC REQUIRES THAT THESE NATURAL PERSONS AND ENTITIES BE NAMED IN THE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Received from Named Selling Securityholder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the Selling Securityholder receive the Registrable Securities listed above in Item 3(b) as a transferee from selling securityholder(s) previously identified in the Resale Registration Statement?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(a) above is “Yes,” then please answer the following two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the Selling Securityholder receive the Registrable Securities listed above in Item 3(b) from the named selling securityholder(s) prior to the effectiveness of the Resale Registration Statement? </w:t>
            </w:r>
          </w:p>
        </w:tc>
      </w:tr>
    </w:tbl>
    <w:p>
      <w:pPr>
        <w:pStyle w:val="TextBody"/>
        <w:bidi w:val="0"/>
        <w:spacing w:before="120" w:after="0"/>
        <w:jc w:val="left"/>
        <w:rPr/>
      </w:pPr>
      <w:r>
        <w:rPr/>
        <w:t>☐ </w:t>
      </w:r>
      <w:r>
        <w:rPr>
          <w:rFonts w:ascii="Times New Roman" w:hAnsi="Times New Roman"/>
          <w:sz w:val="20"/>
        </w:rPr>
        <w:t xml:space="preserve">Yes. </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below the names of the selling securityholder(s) from whom the Selling Securityholder received the Registrable Securities listed above in Item 3(b) and the date on which such securities were received.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2"/>
        <w:gridCol w:w="161"/>
        <w:gridCol w:w="8822"/>
      </w:tblGrid>
      <w:tr>
        <w:trPr/>
        <w:tc>
          <w:tcPr>
            <w:tcW w:w="1222"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8822" w:type="dxa"/>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more space is needed for responses, then please attach additional sheets of paper. Please indicate the Selling Securityholder’s name and the number of the item being responded to on each such additional sheet of paper, and sign each such additional sheet of paper, before attaching it to this Notice and Questionnaire. The Selling Securityholder may be asked to answer additional questions depending on the responses to the above questions. </w:t>
      </w:r>
    </w:p>
    <w:p>
      <w:pPr>
        <w:pStyle w:val="TextBody"/>
        <w:bidi w:val="0"/>
        <w:spacing w:before="480" w:after="0"/>
        <w:jc w:val="center"/>
        <w:rPr>
          <w:rFonts w:ascii="Times New Roman" w:hAnsi="Times New Roman"/>
          <w:b/>
          <w:sz w:val="20"/>
        </w:rPr>
      </w:pPr>
      <w:r>
        <w:rPr>
          <w:rFonts w:ascii="Times New Roman" w:hAnsi="Times New Roman"/>
          <w:b/>
          <w:sz w:val="20"/>
        </w:rPr>
        <w:t xml:space="preserve">ACKNOWLEDGEMENTS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acknowledges its obligation to comply with the provisions of the Exchange Act and the rules thereunder relating to stock manipulation, particularly Regulation M thereunder (or any successor rules or regulations), in connection with any offer or sale of Registrable Securities. The Selling Securityholder agrees that neither it nor any person acting on its behalf will engage in any transaction in violation of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acknowledges its obligations under the Registration Rights Agreement to indemnify and hold harmless certain persons as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the Issuers have agreed under certain circumstances to indemnify the Selling Securityholder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Selling Securityholder’s obligation under the Registration Rights Agreement to provide such information as may be required by law for inclusion in the Resale Registration Statement, the Selling Securityholder agrees to promptly notify the Parent Guarantor of any inaccuracies or changes in the information provided in this Notice and Questionnaire that may occur after the date of this Notice and Questionnaire at any time while the Resale Registration Statement remains effective. </w:t>
      </w:r>
    </w:p>
    <w:p>
      <w:pPr>
        <w:pStyle w:val="TextBody"/>
        <w:bidi w:val="0"/>
        <w:spacing w:before="240" w:after="0"/>
        <w:jc w:val="left"/>
        <w:rPr>
          <w:rFonts w:ascii="Times New Roman" w:hAnsi="Times New Roman"/>
          <w:sz w:val="20"/>
        </w:rPr>
      </w:pPr>
      <w:r>
        <w:rPr>
          <w:rFonts w:ascii="Times New Roman" w:hAnsi="Times New Roman"/>
          <w:sz w:val="20"/>
        </w:rPr>
        <w:t xml:space="preserve">Notices to the Selling Securityholder relating to this Notice and Questionnaire or pursuant to the Registration Rights Agreement will be made by email, or in writing, at the email or physical address set forth in Item 2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signing below, the Selling Securityholder consents to the disclosure of the information contained in this Notice and Questionnaire in its answers to Items 1 through 9 and the inclusion of such information in the Resale Registration Statement and the related prospectus. The Selling Securityholder understands that such information will be relied upon by the Issuers in connection with the preparation or amendment of the Resale Registration Statement and the related prospectus.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Remainder of Page Intentionally Left Blank; Signature Pages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Selling Securityholder has caused this Notice and Questionnaire to be executed and delivered either in person or by its duly authorized agent and thereby confirms that they are entitled to the benefits of, and be subject to the indemnification and other obligations under, the Registration Rights Agreement. </w:t>
      </w:r>
    </w:p>
    <w:p>
      <w:pPr>
        <w:pStyle w:val="TextBody"/>
        <w:bidi w:val="0"/>
        <w:spacing w:before="0" w:after="0"/>
        <w:jc w:val="left"/>
        <w:rPr/>
      </w:pPr>
      <w:r>
        <w:rPr/>
        <w:t> </w:t>
      </w:r>
    </w:p>
    <w:tbl>
      <w:tblPr>
        <w:tblW w:w="10608" w:type="dxa"/>
        <w:jc w:val="left"/>
        <w:tblInd w:w="0" w:type="dxa"/>
        <w:tblLayout w:type="fixed"/>
        <w:tblCellMar>
          <w:top w:w="0" w:type="dxa"/>
          <w:left w:w="0" w:type="dxa"/>
          <w:bottom w:w="0" w:type="dxa"/>
          <w:right w:w="0" w:type="dxa"/>
        </w:tblCellMar>
      </w:tblPr>
      <w:tblGrid>
        <w:gridCol w:w="2420"/>
        <w:gridCol w:w="60"/>
        <w:gridCol w:w="23"/>
        <w:gridCol w:w="60"/>
        <w:gridCol w:w="2681"/>
        <w:gridCol w:w="2681"/>
        <w:gridCol w:w="2683"/>
      </w:tblGrid>
      <w:tr>
        <w:trPr/>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bottom"/>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bottom"/>
          </w:tcPr>
          <w:p>
            <w:pPr>
              <w:pStyle w:val="TableContents"/>
              <w:bidi w:val="0"/>
              <w:spacing w:before="0" w:after="283"/>
              <w:jc w:val="left"/>
              <w:rPr/>
            </w:pPr>
            <w:r>
              <w:rPr/>
              <w:t xml:space="preserve">Dated: </w:t>
            </w:r>
            <w:r>
              <w:rPr>
                <w:u w:val="single"/>
              </w:rPr>
              <w:t>          </w:t>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45" w:type="dxa"/>
            <w:gridSpan w:val="3"/>
            <w:tcBorders/>
            <w:vAlign w:val="bottom"/>
          </w:tcPr>
          <w:p>
            <w:pPr>
              <w:pStyle w:val="TableContents"/>
              <w:bidi w:val="0"/>
              <w:spacing w:before="0" w:after="283"/>
              <w:jc w:val="right"/>
              <w:rPr/>
            </w:pPr>
            <w:r>
              <w:rPr/>
              <w:t xml:space="preserve">Legal Name of Selling Securityholder: </w:t>
            </w:r>
            <w:r>
              <w:rPr>
                <w:u w:val="single"/>
              </w:rPr>
              <w:t>                    </w:t>
            </w:r>
          </w:p>
        </w:tc>
      </w:tr>
    </w:tbl>
    <w:tbl>
      <w:tblPr>
        <w:tblW w:w="5000" w:type="pct"/>
        <w:jc w:val="left"/>
        <w:tblInd w:w="0" w:type="dxa"/>
        <w:tblLayout w:type="fixed"/>
        <w:tblCellMar>
          <w:top w:w="0" w:type="dxa"/>
          <w:left w:w="0" w:type="dxa"/>
          <w:bottom w:w="0" w:type="dxa"/>
          <w:right w:w="0" w:type="dxa"/>
        </w:tblCellMar>
      </w:tblPr>
      <w:tblGrid>
        <w:gridCol w:w="4254"/>
        <w:gridCol w:w="113"/>
        <w:gridCol w:w="301"/>
        <w:gridCol w:w="113"/>
        <w:gridCol w:w="1042"/>
        <w:gridCol w:w="113"/>
        <w:gridCol w:w="4269"/>
      </w:tblGrid>
      <w:tr>
        <w:trPr/>
        <w:tc>
          <w:tcPr>
            <w:tcW w:w="425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26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254" w:type="dxa"/>
            <w:tcBorders/>
            <w:vAlign w:val="center"/>
          </w:tcPr>
          <w:p>
            <w:pPr>
              <w:pStyle w:val="TableContents"/>
              <w:bidi w:val="0"/>
              <w:spacing w:before="0" w:after="283"/>
              <w:jc w:val="left"/>
              <w:rPr>
                <w:sz w:val="4"/>
                <w:szCs w:val="4"/>
              </w:rPr>
            </w:pPr>
            <w:r>
              <w:rPr>
                <w:sz w:val="4"/>
                <w:szCs w:val="4"/>
              </w:rPr>
            </w:r>
          </w:p>
        </w:tc>
        <w:tc>
          <w:tcPr>
            <w:tcW w:w="414"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4254"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0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   </w:t>
            </w:r>
            <w:r>
              <w:rPr/>
              <w:t>By:</w:t>
            </w:r>
          </w:p>
        </w:tc>
        <w:tc>
          <w:tcPr>
            <w:tcW w:w="113" w:type="dxa"/>
            <w:tcBorders>
              <w:bottom w:val="single" w:sz="2" w:space="0" w:color="000000"/>
            </w:tcBorders>
            <w:tcMar>
              <w:bottom w:w="28" w:type="dxa"/>
            </w:tcMar>
            <w:vAlign w:val="bottom"/>
          </w:tcPr>
          <w:p>
            <w:pPr>
              <w:pStyle w:val="TableContents"/>
              <w:bidi w:val="0"/>
              <w:spacing w:before="0" w:after="283"/>
              <w:jc w:val="left"/>
              <w:rPr/>
            </w:pPr>
            <w:r>
              <w:rPr/>
              <w:t> </w:t>
            </w:r>
          </w:p>
        </w:tc>
        <w:tc>
          <w:tcPr>
            <w:tcW w:w="4269" w:type="dxa"/>
            <w:tcBorders>
              <w:bottom w:val="single" w:sz="2" w:space="0" w:color="000000"/>
            </w:tcBorders>
            <w:tcMar>
              <w:bottom w:w="28" w:type="dxa"/>
            </w:tcMa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113"/>
        <w:gridCol w:w="113"/>
        <w:gridCol w:w="397"/>
        <w:gridCol w:w="113"/>
        <w:gridCol w:w="1324"/>
        <w:gridCol w:w="113"/>
        <w:gridCol w:w="4032"/>
      </w:tblGrid>
      <w:tr>
        <w:trPr/>
        <w:tc>
          <w:tcPr>
            <w:tcW w:w="411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03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11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1437" w:type="dxa"/>
            <w:gridSpan w:val="2"/>
            <w:tcBorders/>
            <w:vAlign w:val="center"/>
          </w:tcPr>
          <w:p>
            <w:pPr>
              <w:pStyle w:val="TableContents"/>
              <w:bidi w:val="0"/>
              <w:spacing w:before="0" w:after="283"/>
              <w:jc w:val="left"/>
              <w:rPr>
                <w:sz w:val="4"/>
                <w:szCs w:val="4"/>
              </w:rPr>
            </w:pPr>
            <w:r>
              <w:rPr>
                <w:sz w:val="4"/>
                <w:szCs w:val="4"/>
              </w:rPr>
            </w:r>
          </w:p>
        </w:tc>
        <w:tc>
          <w:tcPr>
            <w:tcW w:w="4145" w:type="dxa"/>
            <w:gridSpan w:val="2"/>
            <w:tcBorders/>
            <w:vAlign w:val="center"/>
          </w:tcPr>
          <w:p>
            <w:pPr>
              <w:pStyle w:val="TableContents"/>
              <w:bidi w:val="0"/>
              <w:spacing w:before="0" w:after="283"/>
              <w:jc w:val="left"/>
              <w:rPr>
                <w:sz w:val="4"/>
                <w:szCs w:val="4"/>
              </w:rPr>
            </w:pPr>
            <w:r>
              <w:rPr>
                <w:sz w:val="4"/>
                <w:szCs w:val="4"/>
              </w:rPr>
            </w:r>
          </w:p>
        </w:tc>
      </w:tr>
      <w:tr>
        <w:trPr/>
        <w:tc>
          <w:tcPr>
            <w:tcW w:w="411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9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324" w:type="dxa"/>
            <w:tcBorders/>
          </w:tcPr>
          <w:p>
            <w:pPr>
              <w:pStyle w:val="TableContents"/>
              <w:bidi w:val="0"/>
              <w:spacing w:before="0" w:after="283"/>
              <w:jc w:val="left"/>
              <w:rPr/>
            </w:pPr>
            <w:r>
              <w:rPr/>
              <w:t>   </w:t>
            </w:r>
            <w:r>
              <w:rPr/>
              <w:t>Name:</w:t>
            </w:r>
          </w:p>
        </w:tc>
        <w:tc>
          <w:tcPr>
            <w:tcW w:w="113" w:type="dxa"/>
            <w:tcBorders>
              <w:bottom w:val="single" w:sz="2" w:space="0" w:color="000000"/>
            </w:tcBorders>
            <w:tcMar>
              <w:bottom w:w="28" w:type="dxa"/>
            </w:tcMar>
            <w:vAlign w:val="bottom"/>
          </w:tcPr>
          <w:p>
            <w:pPr>
              <w:pStyle w:val="TableContents"/>
              <w:bidi w:val="0"/>
              <w:spacing w:before="0" w:after="283"/>
              <w:jc w:val="left"/>
              <w:rPr/>
            </w:pPr>
            <w:r>
              <w:rPr/>
              <w:t> </w:t>
            </w:r>
          </w:p>
        </w:tc>
        <w:tc>
          <w:tcPr>
            <w:tcW w:w="4032" w:type="dxa"/>
            <w:tcBorders>
              <w:bottom w:val="single" w:sz="2" w:space="0" w:color="000000"/>
            </w:tcBorders>
            <w:tcMar>
              <w:bottom w:w="28" w:type="dxa"/>
            </w:tcMa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104"/>
        <w:gridCol w:w="115"/>
        <w:gridCol w:w="397"/>
        <w:gridCol w:w="115"/>
        <w:gridCol w:w="1241"/>
        <w:gridCol w:w="115"/>
        <w:gridCol w:w="4118"/>
      </w:tblGrid>
      <w:tr>
        <w:trPr/>
        <w:tc>
          <w:tcPr>
            <w:tcW w:w="4104"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411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104" w:type="dxa"/>
            <w:tcBorders/>
            <w:vAlign w:val="center"/>
          </w:tcPr>
          <w:p>
            <w:pPr>
              <w:pStyle w:val="TableContents"/>
              <w:bidi w:val="0"/>
              <w:spacing w:before="0" w:after="283"/>
              <w:jc w:val="left"/>
              <w:rPr>
                <w:sz w:val="4"/>
                <w:szCs w:val="4"/>
              </w:rPr>
            </w:pPr>
            <w:r>
              <w:rPr>
                <w:sz w:val="4"/>
                <w:szCs w:val="4"/>
              </w:rPr>
            </w:r>
          </w:p>
        </w:tc>
        <w:tc>
          <w:tcPr>
            <w:tcW w:w="512"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4233" w:type="dxa"/>
            <w:gridSpan w:val="2"/>
            <w:tcBorders/>
            <w:vAlign w:val="center"/>
          </w:tcPr>
          <w:p>
            <w:pPr>
              <w:pStyle w:val="TableContents"/>
              <w:bidi w:val="0"/>
              <w:spacing w:before="0" w:after="283"/>
              <w:jc w:val="left"/>
              <w:rPr>
                <w:sz w:val="4"/>
                <w:szCs w:val="4"/>
              </w:rPr>
            </w:pPr>
            <w:r>
              <w:rPr>
                <w:sz w:val="4"/>
                <w:szCs w:val="4"/>
              </w:rPr>
            </w:r>
          </w:p>
        </w:tc>
      </w:tr>
      <w:tr>
        <w:trPr/>
        <w:tc>
          <w:tcPr>
            <w:tcW w:w="4104"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97"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241" w:type="dxa"/>
            <w:tcBorders/>
          </w:tcPr>
          <w:p>
            <w:pPr>
              <w:pStyle w:val="TableContents"/>
              <w:bidi w:val="0"/>
              <w:spacing w:before="0" w:after="283"/>
              <w:jc w:val="left"/>
              <w:rPr/>
            </w:pPr>
            <w:r>
              <w:rPr/>
              <w:t>   </w:t>
            </w:r>
            <w:r>
              <w:rPr/>
              <w:t>Title:</w:t>
            </w:r>
          </w:p>
        </w:tc>
        <w:tc>
          <w:tcPr>
            <w:tcW w:w="115" w:type="dxa"/>
            <w:tcBorders>
              <w:bottom w:val="single" w:sz="2" w:space="0" w:color="000000"/>
            </w:tcBorders>
            <w:tcMar>
              <w:bottom w:w="28" w:type="dxa"/>
            </w:tcMar>
            <w:vAlign w:val="bottom"/>
          </w:tcPr>
          <w:p>
            <w:pPr>
              <w:pStyle w:val="TableContents"/>
              <w:bidi w:val="0"/>
              <w:spacing w:before="0" w:after="283"/>
              <w:jc w:val="left"/>
              <w:rPr/>
            </w:pPr>
            <w:r>
              <w:rPr/>
              <w:t> </w:t>
            </w:r>
          </w:p>
        </w:tc>
        <w:tc>
          <w:tcPr>
            <w:tcW w:w="411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PLEASE RETURN THE COMPLETED AND EXECUTED NOTICE </w:t>
      </w:r>
    </w:p>
    <w:p>
      <w:pPr>
        <w:pStyle w:val="TextBody"/>
        <w:bidi w:val="0"/>
        <w:spacing w:before="0" w:after="0"/>
        <w:jc w:val="center"/>
        <w:rPr>
          <w:rFonts w:ascii="Times New Roman" w:hAnsi="Times New Roman"/>
          <w:sz w:val="20"/>
        </w:rPr>
      </w:pPr>
      <w:r>
        <w:rPr>
          <w:rFonts w:ascii="Times New Roman" w:hAnsi="Times New Roman"/>
          <w:sz w:val="20"/>
        </w:rPr>
        <w:t xml:space="preserve">AND QUESTIONNAIRE TO THE MACERICH COMPANY AT: </w:t>
      </w:r>
    </w:p>
    <w:p>
      <w:pPr>
        <w:pStyle w:val="TextBody"/>
        <w:bidi w:val="0"/>
        <w:spacing w:before="12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California 90401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Email: Melissa.DeMarie@macerich.com </w:t>
      </w:r>
    </w:p>
    <w:p>
      <w:pPr>
        <w:pStyle w:val="TextBody"/>
        <w:bidi w:val="0"/>
        <w:spacing w:before="0" w:after="0"/>
        <w:jc w:val="center"/>
        <w:rPr>
          <w:rFonts w:ascii="Times New Roman" w:hAnsi="Times New Roman"/>
          <w:sz w:val="20"/>
        </w:rPr>
      </w:pPr>
      <w:r>
        <w:rPr>
          <w:rFonts w:ascii="Times New Roman" w:hAnsi="Times New Roman"/>
          <w:sz w:val="20"/>
        </w:rPr>
        <w:t xml:space="preserve">Telephone: (310)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p>
    <w:p>
      <w:pPr>
        <w:pStyle w:val="TextBody"/>
        <w:bidi w:val="0"/>
        <w:spacing w:before="0" w:after="0"/>
        <w:jc w:val="right"/>
        <w:rPr>
          <w:rFonts w:ascii="Times New Roman" w:hAnsi="Times New Roman"/>
          <w:b/>
          <w:sz w:val="20"/>
        </w:rPr>
      </w:pPr>
      <w:bookmarkStart w:id="7" w:name="d106117dex101.htm"/>
      <w:bookmarkStart w:id="8" w:name="ksd106117dex101"/>
      <w:bookmarkEnd w:id="7"/>
      <w:bookmarkEnd w:id="8"/>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[Dealer’s name] </w:t>
      </w:r>
    </w:p>
    <w:p>
      <w:pPr>
        <w:pStyle w:val="TextBody"/>
        <w:bidi w:val="0"/>
        <w:spacing w:before="0" w:after="0"/>
        <w:jc w:val="left"/>
        <w:rPr>
          <w:rFonts w:ascii="Times New Roman" w:hAnsi="Times New Roman"/>
          <w:sz w:val="20"/>
        </w:rPr>
      </w:pPr>
      <w:r>
        <w:rPr>
          <w:rFonts w:ascii="Times New Roman" w:hAnsi="Times New Roman"/>
          <w:sz w:val="20"/>
        </w:rPr>
        <w:t xml:space="preserve">[Dealer’s address]1 </w:t>
      </w:r>
    </w:p>
    <w:p>
      <w:pPr>
        <w:pStyle w:val="TextBody"/>
        <w:bidi w:val="0"/>
        <w:spacing w:before="240" w:after="0"/>
        <w:jc w:val="right"/>
        <w:rPr>
          <w:rFonts w:ascii="Times New Roman" w:hAnsi="Times New Roman"/>
          <w:sz w:val="20"/>
        </w:rPr>
      </w:pPr>
      <w:r>
        <w:rPr>
          <w:rFonts w:ascii="Times New Roman" w:hAnsi="Times New Roman"/>
          <w:sz w:val="20"/>
        </w:rPr>
        <w:t xml:space="preserve">August [__],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Macerich Partnership, L.P. </w:t>
            </w:r>
          </w:p>
        </w:tc>
      </w:tr>
    </w:tbl>
    <w:p>
      <w:pPr>
        <w:pStyle w:val="TextBody"/>
        <w:bidi w:val="0"/>
        <w:spacing w:before="0" w:after="0"/>
        <w:jc w:val="left"/>
        <w:rPr>
          <w:rFonts w:ascii="Times New Roman" w:hAnsi="Times New Roman"/>
          <w:sz w:val="20"/>
        </w:rPr>
      </w:pPr>
      <w:r>
        <w:rPr>
          <w:rFonts w:ascii="Times New Roman" w:hAnsi="Times New Roman"/>
          <w:sz w:val="20"/>
        </w:rPr>
        <w:t xml:space="preserve">c/o 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[Base][Additional] Call Option Transaction </w:t>
            </w:r>
          </w:p>
        </w:tc>
      </w:tr>
    </w:tbl>
    <w:p>
      <w:pPr>
        <w:pStyle w:val="TextBody"/>
        <w:bidi w:val="0"/>
        <w:spacing w:before="240" w:after="0"/>
        <w:jc w:val="left"/>
        <w:rPr>
          <w:rFonts w:ascii="Times New Roman" w:hAnsi="Times New Roman"/>
          <w:sz w:val="20"/>
        </w:rPr>
      </w:pPr>
      <w:r>
        <w:rPr>
          <w:rFonts w:ascii="Times New Roman" w:hAnsi="Times New Roman"/>
          <w:sz w:val="20"/>
        </w:rPr>
        <w:t>The purpose of this letter agreement (this “</w:t>
      </w:r>
      <w:r>
        <w:rPr>
          <w:rFonts w:ascii="Times New Roman" w:hAnsi="Times New Roman"/>
          <w:b/>
          <w:sz w:val="20"/>
        </w:rPr>
        <w:t>Confirmation</w:t>
      </w:r>
      <w:r>
        <w:rPr>
          <w:rFonts w:ascii="Times New Roman" w:hAnsi="Times New Roman"/>
          <w:sz w:val="20"/>
        </w:rPr>
        <w:t>”) is to confirm the terms and conditions of the call option transaction entered into among [DEALER] (“</w:t>
      </w:r>
      <w:r>
        <w:rPr>
          <w:rFonts w:ascii="Times New Roman" w:hAnsi="Times New Roman"/>
          <w:b/>
          <w:sz w:val="20"/>
        </w:rPr>
        <w:t>Dealer</w:t>
      </w:r>
      <w:r>
        <w:rPr>
          <w:rFonts w:ascii="Times New Roman" w:hAnsi="Times New Roman"/>
          <w:sz w:val="20"/>
        </w:rPr>
        <w:t>”), The Macerich Partnership, L.P., a Delaware limited partnership (“</w:t>
      </w:r>
      <w:r>
        <w:rPr>
          <w:rFonts w:ascii="Times New Roman" w:hAnsi="Times New Roman"/>
          <w:b/>
          <w:sz w:val="20"/>
        </w:rPr>
        <w:t>Counterparty</w:t>
      </w:r>
      <w:r>
        <w:rPr>
          <w:rFonts w:ascii="Times New Roman" w:hAnsi="Times New Roman"/>
          <w:sz w:val="20"/>
        </w:rPr>
        <w:t>”), and The Macerich Company, a Maryland corporation (“</w:t>
      </w:r>
      <w:r>
        <w:rPr>
          <w:rFonts w:ascii="Times New Roman" w:hAnsi="Times New Roman"/>
          <w:b/>
          <w:sz w:val="20"/>
        </w:rPr>
        <w:t>Parent</w:t>
      </w:r>
      <w:r>
        <w:rPr>
          <w:rFonts w:ascii="Times New Roman" w:hAnsi="Times New Roman"/>
          <w:sz w:val="20"/>
        </w:rPr>
        <w:t>”), as of the Trade Date specified below (the “</w:t>
      </w:r>
      <w:r>
        <w:rPr>
          <w:rFonts w:ascii="Times New Roman" w:hAnsi="Times New Roman"/>
          <w:b/>
          <w:sz w:val="20"/>
        </w:rPr>
        <w:t>Transaction</w:t>
      </w:r>
      <w:r>
        <w:rPr>
          <w:rFonts w:ascii="Times New Roman" w:hAnsi="Times New Roman"/>
          <w:sz w:val="20"/>
        </w:rPr>
        <w:t xml:space="preserve">”). This letter agreement constitutes a “Confirmation” as referred to in the ISDA Master Agreement specified below. Each party further agrees that this Confirmation together with the Agreement evidence a complete binding agreement among Counterparty, Parent and Dealer as to the subject matter and terms of the Transaction to which this Confirmation relates, and shall supersede all prior or contemporaneous written or oral communications with respect thereto. </w:t>
      </w:r>
    </w:p>
    <w:p>
      <w:pPr>
        <w:pStyle w:val="TextBody"/>
        <w:bidi w:val="0"/>
        <w:spacing w:before="240" w:after="0"/>
        <w:jc w:val="left"/>
        <w:rPr>
          <w:rFonts w:ascii="Times New Roman" w:hAnsi="Times New Roman"/>
          <w:sz w:val="20"/>
        </w:rPr>
      </w:pPr>
      <w:r>
        <w:rPr>
          <w:rFonts w:ascii="Times New Roman" w:hAnsi="Times New Roman"/>
          <w:sz w:val="20"/>
        </w:rPr>
        <w:t>The definitions and provisions contained in the 2002 ISDA Equity Derivatives Definitions (the “</w:t>
      </w:r>
      <w:r>
        <w:rPr>
          <w:rFonts w:ascii="Times New Roman" w:hAnsi="Times New Roman"/>
          <w:b/>
          <w:sz w:val="20"/>
        </w:rPr>
        <w:t>Equity Definitions</w:t>
      </w:r>
      <w:r>
        <w:rPr>
          <w:rFonts w:ascii="Times New Roman" w:hAnsi="Times New Roman"/>
          <w:sz w:val="20"/>
        </w:rPr>
        <w:t>”), as published by the International Swaps and Derivatives Association, Inc. (“</w:t>
      </w:r>
      <w:r>
        <w:rPr>
          <w:rFonts w:ascii="Times New Roman" w:hAnsi="Times New Roman"/>
          <w:b/>
          <w:sz w:val="20"/>
        </w:rPr>
        <w:t>ISDA</w:t>
      </w:r>
      <w:r>
        <w:rPr>
          <w:rFonts w:ascii="Times New Roman" w:hAnsi="Times New Roman"/>
          <w:sz w:val="20"/>
        </w:rPr>
        <w:t>”) are incorporated into this Confirmation. In the event of any inconsistency between the Equity Definitions and this Confirmation, this Confirmation shall govern. Certain defined terms used herein are based on terms that are defined in the Offering Memorandum dated August [6], 2026 (the “</w:t>
      </w:r>
      <w:r>
        <w:rPr>
          <w:rFonts w:ascii="Times New Roman" w:hAnsi="Times New Roman"/>
          <w:b/>
          <w:sz w:val="20"/>
        </w:rPr>
        <w:t>Offering Memorandum</w:t>
      </w:r>
      <w:r>
        <w:rPr>
          <w:rFonts w:ascii="Times New Roman" w:hAnsi="Times New Roman"/>
          <w:sz w:val="20"/>
        </w:rPr>
        <w:t>”) relating to the [__]% Exchangeable Senior Notes due 2031 (as originally issued by Counterparty, the “</w:t>
      </w:r>
      <w:r>
        <w:rPr>
          <w:rFonts w:ascii="Times New Roman" w:hAnsi="Times New Roman"/>
          <w:b/>
          <w:sz w:val="20"/>
        </w:rPr>
        <w:t>Exchangeable Notes</w:t>
      </w:r>
      <w:r>
        <w:rPr>
          <w:rFonts w:ascii="Times New Roman" w:hAnsi="Times New Roman"/>
          <w:sz w:val="20"/>
        </w:rPr>
        <w:t>” and each USD 1,000 principal amount of Exchangeable Notes, an “</w:t>
      </w:r>
      <w:r>
        <w:rPr>
          <w:rFonts w:ascii="Times New Roman" w:hAnsi="Times New Roman"/>
          <w:b/>
          <w:sz w:val="20"/>
        </w:rPr>
        <w:t>Exchangeable Note</w:t>
      </w:r>
      <w:r>
        <w:rPr>
          <w:rFonts w:ascii="Times New Roman" w:hAnsi="Times New Roman"/>
          <w:sz w:val="20"/>
        </w:rPr>
        <w:t>”) issued by Counterparty in an aggregate initial principal amount of USD [600,000,000] (as increased by [up to]2 an aggregate principal amount of USD [90,000,000] [if and to the extent that]3[pursuant to the exercise by]4 the Initial Purchasers (as defined below) [exercise]5[of]6 their option to purchase additional Exchangeable Notes pursuant to the Purchase Agreement (the “</w:t>
      </w:r>
      <w:r>
        <w:rPr>
          <w:rFonts w:ascii="Times New Roman" w:hAnsi="Times New Roman"/>
          <w:b/>
          <w:sz w:val="20"/>
        </w:rPr>
        <w:t>Purchase Agreement</w:t>
      </w:r>
      <w:r>
        <w:rPr>
          <w:rFonts w:ascii="Times New Roman" w:hAnsi="Times New Roman"/>
          <w:sz w:val="20"/>
        </w:rPr>
        <w:t>”) dated as of August [6], 2026, among Counterparty, Parent, [J.P. Morgan Securities LLC, Morgan Stanley &amp; Co. LLC, Deutsche Bank Securities Inc. and Goldman Sachs &amp; Co. LLC], as representatives of the Initial Purchasers party thereto (the “</w:t>
      </w:r>
      <w:r>
        <w:rPr>
          <w:rFonts w:ascii="Times New Roman" w:hAnsi="Times New Roman"/>
          <w:b/>
          <w:sz w:val="20"/>
        </w:rPr>
        <w:t>Initial Purchasers</w:t>
      </w:r>
      <w:r>
        <w:rPr>
          <w:rFonts w:ascii="Times New Roman" w:hAnsi="Times New Roman"/>
          <w:sz w:val="20"/>
        </w:rPr>
        <w:t>”)) pursuant to an Indenture [to be]7 dated August [11], 2026 among Counterparty, Parent and U.S. Bank Trust Company, National Association, as trustee (the “</w:t>
      </w:r>
      <w:r>
        <w:rPr>
          <w:rFonts w:ascii="Times New Roman" w:hAnsi="Times New Roman"/>
          <w:b/>
          <w:sz w:val="20"/>
        </w:rPr>
        <w:t>Indenture</w:t>
      </w:r>
      <w:r>
        <w:rPr>
          <w:rFonts w:ascii="Times New Roman" w:hAnsi="Times New Roman"/>
          <w:sz w:val="20"/>
        </w:rPr>
        <w:t xml:space="preserve">”).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and cross-references used herein are based on the [draft of the Indenture last reviewed by Dealer and Counterparty as of the date of this Confirmation, and if any such section numbers or cross-references are changed in the Indenture as executed, the parties will amend this Confirmation in good faith to preserve the intent of the parties]8[Indenture as executed]9. Subject to the foregoing, references to the Indenture herein are references to the Indenture as in effect on the date of its execution, and if the Indenture is amended or supplemented following such date (other than any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Dealer name, address and, if applicable, logo.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Base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Base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Base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if Indenture is not effective at the time of the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Base Call Option Confirmation. Include in the Additional Call Option Confirmation if it is executed before closing of the base deal.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Additional Call Option Confirmation, but only if the Additional Call Option Confirmation is executed after closing of the base deal.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amendment or supplement (x) pursuant to Section [8.01(I)]10 of the Indenture that, as determined by the Calculation Agent, conforms the Indenture to the description of Exchangeable Notes in the Offering Memorandum or (y) pursuant to Section [5.09]11 of the Indenture, subject, in the case of this clause (y), to the second paragraph under “Method of Adjustment” in Section 3 of this Confirmation), any such amendment or supplement will be disregarded for purposes of this Confirmation unless the parties agree otherwise in writing. For the purposes of the Equity Definitions, the Transaction shall be deemed to be a Share Option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 </w:t>
      </w:r>
    </w:p>
    <w:p>
      <w:pPr>
        <w:pStyle w:val="TextBody"/>
        <w:bidi w:val="0"/>
        <w:spacing w:before="240" w:after="0"/>
        <w:jc w:val="left"/>
        <w:rPr>
          <w:rFonts w:ascii="Times New Roman" w:hAnsi="Times New Roman"/>
          <w:sz w:val="20"/>
        </w:rPr>
      </w:pPr>
      <w:r>
        <w:rPr>
          <w:rFonts w:ascii="Times New Roman" w:hAnsi="Times New Roman"/>
          <w:sz w:val="20"/>
        </w:rPr>
        <w:t>1. This Confirmation shall supplement, form a part of, and be subject to an agreement in the form of the 2002 ISDA Master Agreement (the “</w:t>
      </w:r>
      <w:r>
        <w:rPr>
          <w:rFonts w:ascii="Times New Roman" w:hAnsi="Times New Roman"/>
          <w:b/>
          <w:sz w:val="20"/>
        </w:rPr>
        <w:t>Agreement</w:t>
      </w:r>
      <w:r>
        <w:rPr>
          <w:rFonts w:ascii="Times New Roman" w:hAnsi="Times New Roman"/>
          <w:sz w:val="20"/>
        </w:rPr>
        <w:t>”) as if Dealer, Counterparty and Parent had executed an agreement in such form on the Trade Date (but without any Schedule except for (i) the election of the laws of the State of New York as the governing law (without reference to choice of law doctrine other than Sections 5-1401 and 5-1402 of the General Obligations Law); (ii) the election of US Dollars as the Termination Currency;[, (iii) the election of an executed guarantee of [___________] (“</w:t>
      </w:r>
      <w:r>
        <w:rPr>
          <w:rFonts w:ascii="Times New Roman" w:hAnsi="Times New Roman"/>
          <w:b/>
          <w:sz w:val="20"/>
        </w:rPr>
        <w:t>Guarantor</w:t>
      </w:r>
      <w:r>
        <w:rPr>
          <w:rFonts w:ascii="Times New Roman" w:hAnsi="Times New Roman"/>
          <w:sz w:val="20"/>
        </w:rPr>
        <w:t xml:space="preserve">”) dated as of the Trade Date in substantially the form attached hereto as Annex A as a Credit Support Document, (iv) the election of Guarantor as Credit Support Provider in relation to Dealer]12 and [(v)][(iii)] the election that the “Cross Default” provisions of Section 5(a)(vi) of the Agreement shall apply solely to Dealer with a “Threshold Amount” of three percent of [Dealer’s][Dealer’s ultimate parent’s] shareholders’ equity as of the Trade Date; </w:t>
      </w:r>
      <w:r>
        <w:rPr>
          <w:rFonts w:ascii="Times New Roman" w:hAnsi="Times New Roman"/>
          <w:i/>
          <w:sz w:val="20"/>
        </w:rPr>
        <w:t>provided</w:t>
      </w:r>
      <w:r>
        <w:rPr>
          <w:rFonts w:ascii="Times New Roman" w:hAnsi="Times New Roman"/>
          <w:sz w:val="20"/>
        </w:rPr>
        <w:t xml:space="preserve"> that (A) “Specified Indebtedness” shall not include obligations in respect of deposits received in the ordinary course of Dealer’s banking business, (B) the phrase “or becoming capable at such time of being declared” shall be deleted from clause (1) of such Section 5(a)(vi) and (C) the following sentence shall be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and/or Parent or any confirmation or other agreement between Dealer and Counterparty and/or Parent pursuant to which an ISDA Master Agreement is deemed to exist between Dealer and Counterparty and/or Parent, then notwithstanding anything to the contrary in such ISDA Master Agreement, such confirmation or agreement or any other agreement to which Dealer and Counterparty and/or Parent are parties, the Transaction shall not be considered a Transaction under, or otherwise governed by, such existing or deemed ISDA Master Agreement. </w:t>
      </w:r>
    </w:p>
    <w:p>
      <w:pPr>
        <w:pStyle w:val="TextBody"/>
        <w:bidi w:val="0"/>
        <w:spacing w:before="240" w:after="0"/>
        <w:jc w:val="left"/>
        <w:rPr>
          <w:rFonts w:ascii="Times New Roman" w:hAnsi="Times New Roman"/>
          <w:sz w:val="20"/>
        </w:rPr>
      </w:pP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The terms of the particular Transaction to which this Confirmation relates are as follows: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18"/>
        <w:gridCol w:w="120"/>
        <w:gridCol w:w="7767"/>
      </w:tblGrid>
      <w:tr>
        <w:trPr/>
        <w:tc>
          <w:tcPr>
            <w:tcW w:w="23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67" w:type="dxa"/>
            <w:tcBorders/>
            <w:vAlign w:val="center"/>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0"/>
              <w:jc w:val="left"/>
              <w:rPr>
                <w:rFonts w:ascii="Times New Roman" w:hAnsi="Times New Roman"/>
                <w:i/>
                <w:sz w:val="20"/>
                <w:u w:val="single"/>
              </w:rPr>
            </w:pPr>
            <w:r>
              <w:rPr>
                <w:rFonts w:ascii="Times New Roman" w:hAnsi="Times New Roman"/>
                <w:i/>
                <w:sz w:val="20"/>
                <w:u w:val="single"/>
              </w:rPr>
              <w:t>General Terms.</w:t>
            </w:r>
          </w:p>
        </w:tc>
        <w:tc>
          <w:tcPr>
            <w:tcW w:w="120" w:type="dxa"/>
            <w:tcBorders/>
            <w:vAlign w:val="bottom"/>
          </w:tcPr>
          <w:p>
            <w:pPr>
              <w:pStyle w:val="TableContents"/>
              <w:bidi w:val="0"/>
              <w:spacing w:before="0" w:after="283"/>
              <w:jc w:val="left"/>
              <w:rPr/>
            </w:pPr>
            <w:r>
              <w:rPr/>
              <w:t>  </w:t>
            </w:r>
          </w:p>
        </w:tc>
        <w:tc>
          <w:tcPr>
            <w:tcW w:w="77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318" w:type="dxa"/>
            <w:tcBorders/>
            <w:vAlign w:val="center"/>
          </w:tcPr>
          <w:p>
            <w:pPr>
              <w:pStyle w:val="TableContents"/>
              <w:bidi w:val="0"/>
              <w:spacing w:before="0" w:after="283"/>
              <w:jc w:val="left"/>
              <w:rPr>
                <w:sz w:val="4"/>
                <w:szCs w:val="4"/>
              </w:rPr>
            </w:pPr>
            <w:r>
              <w:rPr>
                <w:sz w:val="4"/>
                <w:szCs w:val="4"/>
              </w:rPr>
            </w:r>
          </w:p>
        </w:tc>
        <w:tc>
          <w:tcPr>
            <w:tcW w:w="7887" w:type="dxa"/>
            <w:gridSpan w:val="2"/>
            <w:tcBorders/>
            <w:vAlign w:val="center"/>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7767" w:type="dxa"/>
            <w:tcBorders/>
          </w:tcPr>
          <w:p>
            <w:pPr>
              <w:pStyle w:val="TableContents"/>
              <w:bidi w:val="0"/>
              <w:spacing w:before="0" w:after="283"/>
              <w:jc w:val="left"/>
              <w:rPr/>
            </w:pPr>
            <w:r>
              <w:rPr/>
              <w:t>August [__], 2026</w:t>
            </w:r>
          </w:p>
        </w:tc>
      </w:tr>
      <w:tr>
        <w:trPr>
          <w:trHeight w:val="120" w:hRule="atLeast"/>
        </w:trPr>
        <w:tc>
          <w:tcPr>
            <w:tcW w:w="2318" w:type="dxa"/>
            <w:tcBorders/>
            <w:vAlign w:val="center"/>
          </w:tcPr>
          <w:p>
            <w:pPr>
              <w:pStyle w:val="TableContents"/>
              <w:bidi w:val="0"/>
              <w:spacing w:before="0" w:after="283"/>
              <w:jc w:val="left"/>
              <w:rPr>
                <w:sz w:val="4"/>
                <w:szCs w:val="4"/>
              </w:rPr>
            </w:pPr>
            <w:r>
              <w:rPr>
                <w:sz w:val="4"/>
                <w:szCs w:val="4"/>
              </w:rPr>
            </w:r>
          </w:p>
        </w:tc>
        <w:tc>
          <w:tcPr>
            <w:tcW w:w="7887" w:type="dxa"/>
            <w:gridSpan w:val="2"/>
            <w:tcBorders/>
            <w:vAlign w:val="center"/>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283"/>
              <w:jc w:val="left"/>
              <w:rPr/>
            </w:pPr>
            <w:r>
              <w:rPr/>
              <w:t>Effective Date:</w:t>
            </w:r>
          </w:p>
        </w:tc>
        <w:tc>
          <w:tcPr>
            <w:tcW w:w="120" w:type="dxa"/>
            <w:tcBorders/>
            <w:vAlign w:val="bottom"/>
          </w:tcPr>
          <w:p>
            <w:pPr>
              <w:pStyle w:val="TableContents"/>
              <w:bidi w:val="0"/>
              <w:spacing w:before="0" w:after="283"/>
              <w:jc w:val="left"/>
              <w:rPr/>
            </w:pPr>
            <w:r>
              <w:rPr/>
              <w:t>  </w:t>
            </w:r>
          </w:p>
        </w:tc>
        <w:tc>
          <w:tcPr>
            <w:tcW w:w="7767" w:type="dxa"/>
            <w:tcBorders/>
          </w:tcPr>
          <w:p>
            <w:pPr>
              <w:pStyle w:val="TableContents"/>
              <w:bidi w:val="0"/>
              <w:spacing w:before="0" w:after="283"/>
              <w:jc w:val="left"/>
              <w:rPr/>
            </w:pPr>
            <w:r>
              <w:rPr/>
              <w:t>The second Exchange Business Day immediately prior to the Premium Payment Date</w:t>
            </w:r>
          </w:p>
        </w:tc>
      </w:tr>
      <w:tr>
        <w:trPr>
          <w:trHeight w:val="120" w:hRule="atLeast"/>
        </w:trPr>
        <w:tc>
          <w:tcPr>
            <w:tcW w:w="2318" w:type="dxa"/>
            <w:tcBorders/>
            <w:vAlign w:val="center"/>
          </w:tcPr>
          <w:p>
            <w:pPr>
              <w:pStyle w:val="TableContents"/>
              <w:bidi w:val="0"/>
              <w:spacing w:before="0" w:after="283"/>
              <w:jc w:val="left"/>
              <w:rPr>
                <w:sz w:val="4"/>
                <w:szCs w:val="4"/>
              </w:rPr>
            </w:pPr>
            <w:r>
              <w:rPr>
                <w:sz w:val="4"/>
                <w:szCs w:val="4"/>
              </w:rPr>
            </w:r>
          </w:p>
        </w:tc>
        <w:tc>
          <w:tcPr>
            <w:tcW w:w="7887" w:type="dxa"/>
            <w:gridSpan w:val="2"/>
            <w:tcBorders/>
            <w:vAlign w:val="center"/>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283"/>
              <w:jc w:val="left"/>
              <w:rPr/>
            </w:pPr>
            <w:r>
              <w:rPr/>
              <w:t>Option Style:</w:t>
            </w:r>
          </w:p>
        </w:tc>
        <w:tc>
          <w:tcPr>
            <w:tcW w:w="120" w:type="dxa"/>
            <w:tcBorders/>
            <w:vAlign w:val="bottom"/>
          </w:tcPr>
          <w:p>
            <w:pPr>
              <w:pStyle w:val="TableContents"/>
              <w:bidi w:val="0"/>
              <w:spacing w:before="0" w:after="283"/>
              <w:jc w:val="left"/>
              <w:rPr/>
            </w:pPr>
            <w:r>
              <w:rPr/>
              <w:t>  </w:t>
            </w:r>
          </w:p>
        </w:tc>
        <w:tc>
          <w:tcPr>
            <w:tcW w:w="7767" w:type="dxa"/>
            <w:tcBorders/>
          </w:tcPr>
          <w:p>
            <w:pPr>
              <w:pStyle w:val="TableContents"/>
              <w:bidi w:val="0"/>
              <w:spacing w:before="0" w:after="283"/>
              <w:jc w:val="left"/>
              <w:rPr/>
            </w:pPr>
            <w:r>
              <w:rPr/>
              <w:t>“</w:t>
            </w:r>
            <w:r>
              <w:rPr/>
              <w:t>Modified American”, as described under “Procedures for Exercise” below</w:t>
            </w:r>
          </w:p>
        </w:tc>
      </w:tr>
      <w:tr>
        <w:trPr>
          <w:trHeight w:val="120" w:hRule="atLeast"/>
        </w:trPr>
        <w:tc>
          <w:tcPr>
            <w:tcW w:w="2318" w:type="dxa"/>
            <w:tcBorders/>
            <w:vAlign w:val="center"/>
          </w:tcPr>
          <w:p>
            <w:pPr>
              <w:pStyle w:val="TableContents"/>
              <w:bidi w:val="0"/>
              <w:spacing w:before="0" w:after="283"/>
              <w:jc w:val="left"/>
              <w:rPr>
                <w:sz w:val="4"/>
                <w:szCs w:val="4"/>
              </w:rPr>
            </w:pPr>
            <w:r>
              <w:rPr>
                <w:sz w:val="4"/>
                <w:szCs w:val="4"/>
              </w:rPr>
            </w:r>
          </w:p>
        </w:tc>
        <w:tc>
          <w:tcPr>
            <w:tcW w:w="7887" w:type="dxa"/>
            <w:gridSpan w:val="2"/>
            <w:tcBorders/>
            <w:vAlign w:val="center"/>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283"/>
              <w:jc w:val="left"/>
              <w:rPr/>
            </w:pPr>
            <w:r>
              <w:rPr/>
              <w:t>Option Type:</w:t>
            </w:r>
          </w:p>
        </w:tc>
        <w:tc>
          <w:tcPr>
            <w:tcW w:w="120" w:type="dxa"/>
            <w:tcBorders/>
            <w:vAlign w:val="bottom"/>
          </w:tcPr>
          <w:p>
            <w:pPr>
              <w:pStyle w:val="TableContents"/>
              <w:bidi w:val="0"/>
              <w:spacing w:before="0" w:after="283"/>
              <w:jc w:val="left"/>
              <w:rPr/>
            </w:pPr>
            <w:r>
              <w:rPr/>
              <w:t>  </w:t>
            </w:r>
          </w:p>
        </w:tc>
        <w:tc>
          <w:tcPr>
            <w:tcW w:w="7767" w:type="dxa"/>
            <w:tcBorders/>
          </w:tcPr>
          <w:p>
            <w:pPr>
              <w:pStyle w:val="TableContents"/>
              <w:bidi w:val="0"/>
              <w:spacing w:before="0" w:after="283"/>
              <w:jc w:val="left"/>
              <w:rPr/>
            </w:pPr>
            <w:r>
              <w:rPr/>
              <w:t>Call</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section of the indenture that relates to amendment without consent to conform provisions of the Indenture or Notes to the descriptions in the Offering Memorandum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section of the indenture that relates to a Common Stock Change Event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Dealer is not the highest rated entity in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46"/>
        <w:gridCol w:w="120"/>
        <w:gridCol w:w="7739"/>
      </w:tblGrid>
      <w:tr>
        <w:trPr/>
        <w:tc>
          <w:tcPr>
            <w:tcW w:w="23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39" w:type="dxa"/>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Buyer:</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Counterparty</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Seller:</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Dealer</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Shares:</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The common stock of Parent, par value USD 0.01 per share (Exchange symbol “MAC”).</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Number of Options:</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[_______]13. For the avoidance of doubt, the Number of Options shall be reduced by any Options exercised or deemed exercised by Counterparty. In no event will the Number of Options be less than zero.</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Applicable Percentage:</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[__]%</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Option Entitlement:</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A number equal to the product of the Applicable Percentage and [______]14.</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Strike Price:</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USD [______]</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Cap Price:</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USD [______]</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Premium:</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USD [______]</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Premium Payment Date:</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August [__], 202615</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Exchange:</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The New York Stock Exchange</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Related Exchange(s):</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All Exchanges; provided that Section 1.26 of the Equity Definitions shall be amended to add the words “United States” before the word “exchange” in the tenth line of such Section.</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Excluded Provisions:</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Section [5.06]16 and Section [5.07]17 of the Indenture.</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i/>
                <w:u w:val="single"/>
              </w:rPr>
            </w:pPr>
            <w:r>
              <w:rPr>
                <w:i/>
                <w:u w:val="single"/>
              </w:rPr>
              <w:t>Procedures for Exercise.</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sz w:val="4"/>
                <w:szCs w:val="4"/>
              </w:rPr>
            </w:pPr>
            <w:r>
              <w:rPr>
                <w:sz w:val="4"/>
                <w:szCs w:val="4"/>
              </w:rPr>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Exchange Date:</w:t>
            </w:r>
          </w:p>
        </w:tc>
        <w:tc>
          <w:tcPr>
            <w:tcW w:w="120" w:type="dxa"/>
            <w:tcBorders/>
            <w:vAlign w:val="bottom"/>
          </w:tcPr>
          <w:p>
            <w:pPr>
              <w:pStyle w:val="TableContents"/>
              <w:bidi w:val="0"/>
              <w:spacing w:before="0" w:after="283"/>
              <w:jc w:val="left"/>
              <w:rPr/>
            </w:pPr>
            <w:r>
              <w:rPr/>
              <w:t>  </w:t>
            </w:r>
          </w:p>
        </w:tc>
        <w:tc>
          <w:tcPr>
            <w:tcW w:w="7739" w:type="dxa"/>
            <w:tcBorders/>
          </w:tcPr>
          <w:p>
            <w:pPr>
              <w:pStyle w:val="TableContents"/>
              <w:bidi w:val="0"/>
              <w:spacing w:before="0" w:after="283"/>
              <w:jc w:val="left"/>
              <w:rPr/>
            </w:pPr>
            <w:r>
              <w:rPr/>
              <w:t>With respect to any exchange of an Exchangeable Note (other than (1) any exchange of Exchangeable Notes with an Exchange Date occurring prior to the Uniform Exchangeability Deadline and (2) any exchange of Exchangeable Notes occurring on or after the Uniform Exchangeability Deadline in connection with a “Make-Whole Fundamental Change” (as defined in the Indenture (any such exchange described in (1) or (2), an “</w:t>
            </w:r>
            <w:r>
              <w:rPr>
                <w:b/>
              </w:rPr>
              <w:t>Early Exchange</w:t>
            </w:r>
            <w:r>
              <w:rPr/>
              <w:t xml:space="preserve">”), to which the provisions of Section 9(i)(i) of this Confirmation shall apply), the date on which the “Holder” (as such term is defined in the Indenture) of such Exchangeable Note satisfies all of the requirements for exchange thereof as set forth in Section [5.02(A)]18 of the Indenture; </w:t>
            </w:r>
            <w:r>
              <w:rPr>
                <w:i/>
              </w:rPr>
              <w:t>provided</w:t>
            </w:r>
            <w:r>
              <w:rPr/>
              <w:t xml:space="preserve"> that if Counterparty has not delivered to Dealer a related Notice of Exercise, then in no event shall an Exchange Date be deemed to occur hereunder (and no Option shall be exercised or deemed to be exercised hereunder) with respect to any surrender of an Exchangeable Note for exchange in respect of which Counterparty has elected to designate a financial institution for exchange in lieu of exchange of such Exchangeable Note pursuant to Section [5.08]19 of the Indenture.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Base Call Option Confirmation, this is equal to the number of Exchangeable Notes in principal amount of $1,000 initially issued on the closing date for the Exchangeable Notes. For the Additional Call Option Confirmation, this is equal to the number of additional Exchangeable Notes in principal amount of $1,000.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initial Exchange Rate for the Exchangeable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the closing date for the Exchangeable Notes (for the base transaction) and then the closing date for the exercise of the greenshoe (for the additional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relates to voluntary adjustments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relates to adjustment to conversion rate in connection with a Make-Whole Fundamental Change or Notice of Redemption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relates to the establishment of an Exchange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19 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is in respect of exchange in lieu of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34"/>
        <w:gridCol w:w="122"/>
        <w:gridCol w:w="7649"/>
      </w:tblGrid>
      <w:tr>
        <w:trPr/>
        <w:tc>
          <w:tcPr>
            <w:tcW w:w="24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49" w:type="dxa"/>
            <w:tcBorders/>
            <w:vAlign w:val="center"/>
          </w:tcPr>
          <w:p>
            <w:pPr>
              <w:pStyle w:val="TableContents"/>
              <w:bidi w:val="0"/>
              <w:spacing w:before="0" w:after="283"/>
              <w:jc w:val="left"/>
              <w:rPr>
                <w:sz w:val="4"/>
                <w:szCs w:val="4"/>
              </w:rPr>
            </w:pPr>
            <w:r>
              <w:rPr>
                <w:sz w:val="4"/>
                <w:szCs w:val="4"/>
              </w:rPr>
            </w:r>
          </w:p>
        </w:tc>
      </w:tr>
      <w:tr>
        <w:trPr/>
        <w:tc>
          <w:tcPr>
            <w:tcW w:w="2434" w:type="dxa"/>
            <w:tcBorders/>
          </w:tcPr>
          <w:p>
            <w:pPr>
              <w:pStyle w:val="TableContents"/>
              <w:bidi w:val="0"/>
              <w:spacing w:before="0" w:after="283"/>
              <w:jc w:val="left"/>
              <w:rPr/>
            </w:pPr>
            <w:r>
              <w:rPr/>
              <w:t>Uniform Exchangeability Deadline:</w:t>
            </w:r>
          </w:p>
        </w:tc>
        <w:tc>
          <w:tcPr>
            <w:tcW w:w="122"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283"/>
              <w:jc w:val="left"/>
              <w:rPr/>
            </w:pPr>
            <w:r>
              <w:rPr/>
              <w:t>[________], 2031</w:t>
            </w:r>
          </w:p>
        </w:tc>
      </w:tr>
      <w:tr>
        <w:trPr>
          <w:trHeight w:val="120" w:hRule="atLeast"/>
        </w:trPr>
        <w:tc>
          <w:tcPr>
            <w:tcW w:w="2434" w:type="dxa"/>
            <w:tcBorders/>
            <w:vAlign w:val="center"/>
          </w:tcPr>
          <w:p>
            <w:pPr>
              <w:pStyle w:val="TableContents"/>
              <w:bidi w:val="0"/>
              <w:spacing w:before="0" w:after="283"/>
              <w:jc w:val="left"/>
              <w:rPr>
                <w:sz w:val="4"/>
                <w:szCs w:val="4"/>
              </w:rPr>
            </w:pPr>
            <w:r>
              <w:rPr>
                <w:sz w:val="4"/>
                <w:szCs w:val="4"/>
              </w:rPr>
            </w:r>
          </w:p>
        </w:tc>
        <w:tc>
          <w:tcPr>
            <w:tcW w:w="7771" w:type="dxa"/>
            <w:gridSpan w:val="2"/>
            <w:tcBorders/>
            <w:vAlign w:val="center"/>
          </w:tcPr>
          <w:p>
            <w:pPr>
              <w:pStyle w:val="TableContents"/>
              <w:bidi w:val="0"/>
              <w:spacing w:before="0" w:after="283"/>
              <w:jc w:val="left"/>
              <w:rPr>
                <w:sz w:val="4"/>
                <w:szCs w:val="4"/>
              </w:rPr>
            </w:pPr>
            <w:r>
              <w:rPr>
                <w:sz w:val="4"/>
                <w:szCs w:val="4"/>
              </w:rPr>
            </w:r>
          </w:p>
        </w:tc>
      </w:tr>
      <w:tr>
        <w:trPr/>
        <w:tc>
          <w:tcPr>
            <w:tcW w:w="2434" w:type="dxa"/>
            <w:tcBorders/>
          </w:tcPr>
          <w:p>
            <w:pPr>
              <w:pStyle w:val="TableContents"/>
              <w:bidi w:val="0"/>
              <w:spacing w:before="0" w:after="283"/>
              <w:jc w:val="left"/>
              <w:rPr/>
            </w:pPr>
            <w:r>
              <w:rPr/>
              <w:t>Expiration Time:</w:t>
            </w:r>
          </w:p>
        </w:tc>
        <w:tc>
          <w:tcPr>
            <w:tcW w:w="122"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283"/>
              <w:jc w:val="left"/>
              <w:rPr/>
            </w:pPr>
            <w:r>
              <w:rPr/>
              <w:t>The Valuation Time</w:t>
            </w:r>
          </w:p>
        </w:tc>
      </w:tr>
      <w:tr>
        <w:trPr>
          <w:trHeight w:val="120" w:hRule="atLeast"/>
        </w:trPr>
        <w:tc>
          <w:tcPr>
            <w:tcW w:w="2434" w:type="dxa"/>
            <w:tcBorders/>
            <w:vAlign w:val="center"/>
          </w:tcPr>
          <w:p>
            <w:pPr>
              <w:pStyle w:val="TableContents"/>
              <w:bidi w:val="0"/>
              <w:spacing w:before="0" w:after="283"/>
              <w:jc w:val="left"/>
              <w:rPr>
                <w:sz w:val="4"/>
                <w:szCs w:val="4"/>
              </w:rPr>
            </w:pPr>
            <w:r>
              <w:rPr>
                <w:sz w:val="4"/>
                <w:szCs w:val="4"/>
              </w:rPr>
            </w:r>
          </w:p>
        </w:tc>
        <w:tc>
          <w:tcPr>
            <w:tcW w:w="7771" w:type="dxa"/>
            <w:gridSpan w:val="2"/>
            <w:tcBorders/>
            <w:vAlign w:val="center"/>
          </w:tcPr>
          <w:p>
            <w:pPr>
              <w:pStyle w:val="TableContents"/>
              <w:bidi w:val="0"/>
              <w:spacing w:before="0" w:after="283"/>
              <w:jc w:val="left"/>
              <w:rPr>
                <w:sz w:val="4"/>
                <w:szCs w:val="4"/>
              </w:rPr>
            </w:pPr>
            <w:r>
              <w:rPr>
                <w:sz w:val="4"/>
                <w:szCs w:val="4"/>
              </w:rPr>
            </w:r>
          </w:p>
        </w:tc>
      </w:tr>
      <w:tr>
        <w:trPr/>
        <w:tc>
          <w:tcPr>
            <w:tcW w:w="2434" w:type="dxa"/>
            <w:tcBorders/>
          </w:tcPr>
          <w:p>
            <w:pPr>
              <w:pStyle w:val="TableContents"/>
              <w:bidi w:val="0"/>
              <w:spacing w:before="0" w:after="283"/>
              <w:jc w:val="left"/>
              <w:rPr/>
            </w:pPr>
            <w:r>
              <w:rPr/>
              <w:t>Expiration Date:</w:t>
            </w:r>
          </w:p>
        </w:tc>
        <w:tc>
          <w:tcPr>
            <w:tcW w:w="122"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283"/>
              <w:jc w:val="left"/>
              <w:rPr/>
            </w:pPr>
            <w:r>
              <w:rPr/>
              <w:t>[________], 2031, subject to earlier exercise.</w:t>
            </w:r>
          </w:p>
        </w:tc>
      </w:tr>
      <w:tr>
        <w:trPr>
          <w:trHeight w:val="120" w:hRule="atLeast"/>
        </w:trPr>
        <w:tc>
          <w:tcPr>
            <w:tcW w:w="2434" w:type="dxa"/>
            <w:tcBorders/>
            <w:vAlign w:val="center"/>
          </w:tcPr>
          <w:p>
            <w:pPr>
              <w:pStyle w:val="TableContents"/>
              <w:bidi w:val="0"/>
              <w:spacing w:before="0" w:after="283"/>
              <w:jc w:val="left"/>
              <w:rPr>
                <w:sz w:val="4"/>
                <w:szCs w:val="4"/>
              </w:rPr>
            </w:pPr>
            <w:r>
              <w:rPr>
                <w:sz w:val="4"/>
                <w:szCs w:val="4"/>
              </w:rPr>
            </w:r>
          </w:p>
        </w:tc>
        <w:tc>
          <w:tcPr>
            <w:tcW w:w="7771" w:type="dxa"/>
            <w:gridSpan w:val="2"/>
            <w:tcBorders/>
            <w:vAlign w:val="center"/>
          </w:tcPr>
          <w:p>
            <w:pPr>
              <w:pStyle w:val="TableContents"/>
              <w:bidi w:val="0"/>
              <w:spacing w:before="0" w:after="283"/>
              <w:jc w:val="left"/>
              <w:rPr>
                <w:sz w:val="4"/>
                <w:szCs w:val="4"/>
              </w:rPr>
            </w:pPr>
            <w:r>
              <w:rPr>
                <w:sz w:val="4"/>
                <w:szCs w:val="4"/>
              </w:rPr>
            </w:r>
          </w:p>
        </w:tc>
      </w:tr>
      <w:tr>
        <w:trPr/>
        <w:tc>
          <w:tcPr>
            <w:tcW w:w="2434" w:type="dxa"/>
            <w:tcBorders/>
          </w:tcPr>
          <w:p>
            <w:pPr>
              <w:pStyle w:val="TableContents"/>
              <w:bidi w:val="0"/>
              <w:spacing w:before="0" w:after="283"/>
              <w:jc w:val="left"/>
              <w:rPr/>
            </w:pPr>
            <w:r>
              <w:rPr/>
              <w:t>Multiple Exercise:</w:t>
            </w:r>
          </w:p>
        </w:tc>
        <w:tc>
          <w:tcPr>
            <w:tcW w:w="122"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283"/>
              <w:jc w:val="left"/>
              <w:rPr/>
            </w:pPr>
            <w:r>
              <w:rPr/>
              <w:t>Applicable, as described under “Automatic Exercise” and “Automatic Exercise of Remaining Repayment Options After Uniform Exchangeability Deadline” below.</w:t>
            </w:r>
          </w:p>
        </w:tc>
      </w:tr>
      <w:tr>
        <w:trPr>
          <w:trHeight w:val="120" w:hRule="atLeast"/>
        </w:trPr>
        <w:tc>
          <w:tcPr>
            <w:tcW w:w="2434" w:type="dxa"/>
            <w:tcBorders/>
            <w:vAlign w:val="center"/>
          </w:tcPr>
          <w:p>
            <w:pPr>
              <w:pStyle w:val="TableContents"/>
              <w:bidi w:val="0"/>
              <w:spacing w:before="0" w:after="283"/>
              <w:jc w:val="left"/>
              <w:rPr>
                <w:sz w:val="4"/>
                <w:szCs w:val="4"/>
              </w:rPr>
            </w:pPr>
            <w:r>
              <w:rPr>
                <w:sz w:val="4"/>
                <w:szCs w:val="4"/>
              </w:rPr>
            </w:r>
          </w:p>
        </w:tc>
        <w:tc>
          <w:tcPr>
            <w:tcW w:w="7771" w:type="dxa"/>
            <w:gridSpan w:val="2"/>
            <w:tcBorders/>
            <w:vAlign w:val="center"/>
          </w:tcPr>
          <w:p>
            <w:pPr>
              <w:pStyle w:val="TableContents"/>
              <w:bidi w:val="0"/>
              <w:spacing w:before="0" w:after="283"/>
              <w:jc w:val="left"/>
              <w:rPr>
                <w:sz w:val="4"/>
                <w:szCs w:val="4"/>
              </w:rPr>
            </w:pPr>
            <w:r>
              <w:rPr>
                <w:sz w:val="4"/>
                <w:szCs w:val="4"/>
              </w:rPr>
            </w:r>
          </w:p>
        </w:tc>
      </w:tr>
      <w:tr>
        <w:trPr/>
        <w:tc>
          <w:tcPr>
            <w:tcW w:w="2434" w:type="dxa"/>
            <w:tcBorders/>
          </w:tcPr>
          <w:p>
            <w:pPr>
              <w:pStyle w:val="TableContents"/>
              <w:bidi w:val="0"/>
              <w:spacing w:before="0" w:after="283"/>
              <w:jc w:val="left"/>
              <w:rPr/>
            </w:pPr>
            <w:r>
              <w:rPr/>
              <w:t>Automatic Exercise:</w:t>
            </w:r>
          </w:p>
        </w:tc>
        <w:tc>
          <w:tcPr>
            <w:tcW w:w="122"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283"/>
              <w:jc w:val="left"/>
              <w:rPr/>
            </w:pPr>
            <w:r>
              <w:rPr/>
              <w:t>Notwithstanding Section 3.4 of the Equity Definitions, on each Exchange Date (other than in respect of an Early Exchange), a number of Options equal to [(i)] the number of Exchangeable Notes in denominations of USD 1,000 as to which such Exchange Date has occurred[, minus (ii) the number of Options that are or are deemed to be automatically exercised on such Exchange Date under the Base Call Option Transaction Confirmation letter agreement dated August [__], 2026 among Dealer, Counterparty and Parent (the “</w:t>
            </w:r>
            <w:r>
              <w:rPr>
                <w:b/>
              </w:rPr>
              <w:t>Base Call Option Confirmation</w:t>
            </w:r>
            <w:r>
              <w:rPr/>
              <w:t>”) (and for the purposes of determining whether any Options under this Confirmation or under the Base Call Option Confirmation will be automatically exercised hereunder or under the Base Call Option Confirmation, the Exchangeable Notes subject to exchange shall be allocated first to the Base Call Option Confirmation until all Options thereunder are exercised or terminated),]20 shall be deemed to be automatically exercised; provided that such Options shall be exercised or deemed exercised only if Counterparty has provided a Notice of Exercise to Dealer in accordance with “Notice of Exercise” below.</w:t>
            </w:r>
          </w:p>
        </w:tc>
      </w:tr>
      <w:tr>
        <w:trPr>
          <w:trHeight w:val="120" w:hRule="atLeast"/>
        </w:trPr>
        <w:tc>
          <w:tcPr>
            <w:tcW w:w="2434" w:type="dxa"/>
            <w:tcBorders/>
            <w:vAlign w:val="center"/>
          </w:tcPr>
          <w:p>
            <w:pPr>
              <w:pStyle w:val="TableContents"/>
              <w:bidi w:val="0"/>
              <w:spacing w:before="0" w:after="283"/>
              <w:jc w:val="left"/>
              <w:rPr>
                <w:sz w:val="4"/>
                <w:szCs w:val="4"/>
              </w:rPr>
            </w:pPr>
            <w:r>
              <w:rPr>
                <w:sz w:val="4"/>
                <w:szCs w:val="4"/>
              </w:rPr>
            </w:r>
          </w:p>
        </w:tc>
        <w:tc>
          <w:tcPr>
            <w:tcW w:w="7771" w:type="dxa"/>
            <w:gridSpan w:val="2"/>
            <w:tcBorders/>
            <w:vAlign w:val="center"/>
          </w:tcPr>
          <w:p>
            <w:pPr>
              <w:pStyle w:val="TableContents"/>
              <w:bidi w:val="0"/>
              <w:spacing w:before="0" w:after="283"/>
              <w:jc w:val="left"/>
              <w:rPr>
                <w:sz w:val="4"/>
                <w:szCs w:val="4"/>
              </w:rPr>
            </w:pPr>
            <w:r>
              <w:rPr>
                <w:sz w:val="4"/>
                <w:szCs w:val="4"/>
              </w:rPr>
            </w:r>
          </w:p>
        </w:tc>
      </w:tr>
      <w:tr>
        <w:trPr/>
        <w:tc>
          <w:tcPr>
            <w:tcW w:w="243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283"/>
              <w:jc w:val="left"/>
              <w:rPr/>
            </w:pPr>
            <w:r>
              <w:rPr/>
              <w:t>Notwithstanding the foregoing, in no event shall the number of Options that are exercised or deemed exercised hereunder exceed the Number of Options.</w:t>
            </w:r>
          </w:p>
        </w:tc>
      </w:tr>
      <w:tr>
        <w:trPr>
          <w:trHeight w:val="120" w:hRule="atLeast"/>
        </w:trPr>
        <w:tc>
          <w:tcPr>
            <w:tcW w:w="2434" w:type="dxa"/>
            <w:tcBorders/>
            <w:vAlign w:val="center"/>
          </w:tcPr>
          <w:p>
            <w:pPr>
              <w:pStyle w:val="TableContents"/>
              <w:bidi w:val="0"/>
              <w:spacing w:before="0" w:after="283"/>
              <w:jc w:val="left"/>
              <w:rPr>
                <w:sz w:val="4"/>
                <w:szCs w:val="4"/>
              </w:rPr>
            </w:pPr>
            <w:r>
              <w:rPr>
                <w:sz w:val="4"/>
                <w:szCs w:val="4"/>
              </w:rPr>
            </w:r>
          </w:p>
        </w:tc>
        <w:tc>
          <w:tcPr>
            <w:tcW w:w="7771" w:type="dxa"/>
            <w:gridSpan w:val="2"/>
            <w:tcBorders/>
            <w:vAlign w:val="center"/>
          </w:tcPr>
          <w:p>
            <w:pPr>
              <w:pStyle w:val="TableContents"/>
              <w:bidi w:val="0"/>
              <w:spacing w:before="0" w:after="283"/>
              <w:jc w:val="left"/>
              <w:rPr>
                <w:sz w:val="4"/>
                <w:szCs w:val="4"/>
              </w:rPr>
            </w:pPr>
            <w:r>
              <w:rPr>
                <w:sz w:val="4"/>
                <w:szCs w:val="4"/>
              </w:rPr>
            </w:r>
          </w:p>
        </w:tc>
      </w:tr>
      <w:tr>
        <w:trPr/>
        <w:tc>
          <w:tcPr>
            <w:tcW w:w="2434" w:type="dxa"/>
            <w:tcBorders/>
          </w:tcPr>
          <w:p>
            <w:pPr>
              <w:pStyle w:val="TableContents"/>
              <w:bidi w:val="0"/>
              <w:spacing w:before="0" w:after="283"/>
              <w:jc w:val="left"/>
              <w:rPr/>
            </w:pPr>
            <w:r>
              <w:rPr/>
              <w:t>Automatic Exercise of Remaining Repayment Options After Uniform Exchangeability Deadline:</w:t>
            </w:r>
          </w:p>
        </w:tc>
        <w:tc>
          <w:tcPr>
            <w:tcW w:w="122"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283"/>
              <w:jc w:val="left"/>
              <w:rPr/>
            </w:pPr>
            <w:r>
              <w:rPr/>
              <w:t>Notwithstanding anything herein or in Section 3.4 of the Equity Definitions to the contrary, unless Counterparty notifies Dealer in writing prior to 5:00 p.m. (New York City time) on the Scheduled Valid Day immediately preceding the Expiration Date that it does not wish automatic exercise to occur with respect to any Remaining Repayment Options (as defined below), a number of Options equal to the lesser of (a) the Number of Options (after giving effect to the provisions opposite the caption “Automatic Exercise” above) as of 9:00 a.m. (New York City time) on the Expiration Date and (b) the Remaining Repayment Options [</w:t>
            </w:r>
            <w:r>
              <w:rPr>
                <w:i/>
              </w:rPr>
              <w:t>minus</w:t>
            </w:r>
            <w:r>
              <w:rPr/>
              <w:t xml:space="preserve"> the number of Remaining Options (as defined in the Base Call Option Confirmation]21 (such lesser number, the “</w:t>
            </w:r>
            <w:r>
              <w:rPr>
                <w:b/>
              </w:rPr>
              <w:t>Remaining Options</w:t>
            </w:r>
            <w:r>
              <w:rPr/>
              <w:t xml:space="preserve">”) will be deemed to be automatically exercised as if (i) a number of Exchangeable Notes (in denominations of USD 1,000 principal amount) equal to such number of Remaining Options were outstanding under the Indenture and were converted with an Exchange Date occurring on or after the Uniform Exchangeability Deadline and (ii) the Settlement Method were applied to the Options corresponding to such Exchangeable Notes; </w:t>
            </w:r>
            <w:r>
              <w:rPr>
                <w:i/>
              </w:rPr>
              <w:t>provided</w:t>
            </w:r>
            <w:r>
              <w:rPr/>
              <w:t xml:space="preserve"> that no such automatic exercise pursuant to this paragraph will occur if the Relevant Price for each Valid Day during the Settlement Averaging Period is less than or equal to the Strike Price. “</w:t>
            </w:r>
            <w:r>
              <w:rPr>
                <w:b/>
              </w:rPr>
              <w:t>Remaining Repayment Options</w:t>
            </w:r>
            <w:r>
              <w:rPr/>
              <w:t>” shall mean the excess of (I) the number of Options corresponding to the aggregate number of Exchangeable Notes (in denominations of USD 1,000 principal amount) that were subject to Repayment</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Additional Call Option Confirmation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Additional Call Option Confirmation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298"/>
        <w:gridCol w:w="120"/>
        <w:gridCol w:w="7787"/>
      </w:tblGrid>
      <w:tr>
        <w:trPr/>
        <w:tc>
          <w:tcPr>
            <w:tcW w:w="22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8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298"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r>
      <w:tr>
        <w:trPr/>
        <w:tc>
          <w:tcPr>
            <w:tcW w:w="22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87" w:type="dxa"/>
            <w:tcBorders/>
          </w:tcPr>
          <w:p>
            <w:pPr>
              <w:pStyle w:val="TableContents"/>
              <w:bidi w:val="0"/>
              <w:spacing w:before="0" w:after="283"/>
              <w:jc w:val="left"/>
              <w:rPr/>
            </w:pPr>
            <w:r>
              <w:rPr/>
              <w:t>Events (as defined below) described in clause (ii) of the first paragraph of Section 9(i)(iv) (“</w:t>
            </w:r>
            <w:r>
              <w:rPr>
                <w:b/>
              </w:rPr>
              <w:t>Specified Repayment Events</w:t>
            </w:r>
            <w:r>
              <w:rPr/>
              <w:t>”) during the term of the Transaction over (II) the aggregate number of Repayment Options (as defined below) that were terminated pursuant to Section 9(i)(iv) relating to Specified Repayment Events during the term of the Transaction [plus the aggregate number of Repayment Options (as defined in the Base Call Option Confirmation) terminated under the Base Call Option Confirmation relating to Specified Repayment Events (as defined therein) during the term of the “Transaction” under the Base Call Option Confirmation]22. Counterparty shall notify Dealer in writing of the number of Remaining Repayment Options before 5:00 p.m. (New York City time) on the Scheduled Valid Day immediately preceding the Expiration Date.</w:t>
            </w:r>
          </w:p>
        </w:tc>
      </w:tr>
      <w:tr>
        <w:trPr>
          <w:trHeight w:val="120" w:hRule="atLeast"/>
        </w:trPr>
        <w:tc>
          <w:tcPr>
            <w:tcW w:w="2298"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r>
      <w:tr>
        <w:trPr/>
        <w:tc>
          <w:tcPr>
            <w:tcW w:w="2298" w:type="dxa"/>
            <w:tcBorders/>
          </w:tcPr>
          <w:p>
            <w:pPr>
              <w:pStyle w:val="TableContents"/>
              <w:bidi w:val="0"/>
              <w:spacing w:before="0" w:after="283"/>
              <w:jc w:val="left"/>
              <w:rPr/>
            </w:pPr>
            <w:r>
              <w:rPr/>
              <w:t>Notice of Exercise:</w:t>
            </w:r>
          </w:p>
        </w:tc>
        <w:tc>
          <w:tcPr>
            <w:tcW w:w="120" w:type="dxa"/>
            <w:tcBorders/>
            <w:vAlign w:val="bottom"/>
          </w:tcPr>
          <w:p>
            <w:pPr>
              <w:pStyle w:val="TableContents"/>
              <w:bidi w:val="0"/>
              <w:spacing w:before="0" w:after="283"/>
              <w:jc w:val="left"/>
              <w:rPr/>
            </w:pPr>
            <w:r>
              <w:rPr/>
              <w:t>  </w:t>
            </w:r>
          </w:p>
        </w:tc>
        <w:tc>
          <w:tcPr>
            <w:tcW w:w="7787" w:type="dxa"/>
            <w:tcBorders/>
          </w:tcPr>
          <w:p>
            <w:pPr>
              <w:pStyle w:val="TableContents"/>
              <w:bidi w:val="0"/>
              <w:spacing w:before="0" w:after="283"/>
              <w:jc w:val="left"/>
              <w:rPr/>
            </w:pPr>
            <w:r>
              <w:rPr/>
              <w:t xml:space="preserve">Notwithstanding anything to the contrary in the Equity Definitions or under “Automatic Exercise” above, but subject to “Automatic Exercise of Remaining Repayment Options After Uniform Exchangeability Deadline” above, in order to exercise any Options relating to Exchangeable Notes with an Exchange Date occurring on or after the Uniform Exchangeability Deadline, Counterparty must notify Dealer in writing (which, for the avoidance of doubt, may be by email) before 5:00 p.m. (New York City time) on the Scheduled Valid Day immediately preceding the Expiration Date specifying the number of such Options; </w:t>
            </w:r>
            <w:r>
              <w:rPr>
                <w:i/>
              </w:rPr>
              <w:t>provided</w:t>
            </w:r>
            <w:r>
              <w:rPr/>
              <w:t xml:space="preserve"> that, notwithstanding the foregoing, such notice (and the related exercise of Options hereunder) shall be effective if given after the applicable notice deadline specified above but prior to 5:00 P.M. (New York City time) on the fifth Exchange Business Day following such notice deadline, in which event the Calculation Agent shall have the right to adjust Dealer’s delivery obligation hereunder and the Settlement Date in a commercially reasonable manner, with respect to the exercise of such Options, as appropriate to reflect the additional commercially reasonable costs (limited to losses as a result of hedging mismatches and market losses) and expenses incurred by Dealer in connection with its hedging activities, with such adjustments made assuming that Dealer maintains commercially reasonable hedge positions (including the unwinding of any hedge position), solely resulting from Dealer not having received such notice prior to such notice deadline (it being understood that the adjusted delivery obligation described in the preceding proviso can never be less than zero and can never require any payment by Counterparty); </w:t>
            </w:r>
            <w:r>
              <w:rPr>
                <w:i/>
              </w:rPr>
              <w:t>provided further</w:t>
            </w:r>
            <w:r>
              <w:rPr/>
              <w:t xml:space="preserve"> that if the Relevant Settlement Method for such Options is not Net Share Settlement, Dealer shall have received a separate notice (the “</w:t>
            </w:r>
            <w:r>
              <w:rPr>
                <w:b/>
              </w:rPr>
              <w:t>Notice of Final Settlement Method</w:t>
            </w:r>
            <w:r>
              <w:rPr/>
              <w:t>”) (which, for the avoidance of doubt, may be by email) in respect of all such Exchangeable Notes before 5:00 p.m. (New York City time) on the Uniform Exchangeability Deadline specifying (1) the Relevant Settlement Method for such Options, and (2) if the Relevant Settlement Method for such Options is Combination Settlement, the percentage of the consideration due upon exchange per Exchangeable Note in excess of the principal amount thereof that Counterparty has elected to pay to “Holders” (as such term is defined in the Indenture) of the related Exchangeable Notes in cash (the “</w:t>
            </w:r>
            <w:r>
              <w:rPr>
                <w:b/>
              </w:rPr>
              <w:t>Cash Percentage</w:t>
            </w:r>
            <w:r>
              <w:rPr/>
              <w:t>”). Notwithstanding anything to the contrary herein, if Counterparty does not timely deliver the Notice of Final Settlement Method, then the Notice of Final Settlement Method shall be deemed timely given and the Relevant Settlement Method specified therein shall be deemed to be Net Share Settlement and that the Cash Percentage elected in connection with the exchange of the related Exchangeable Notes is 0%. Counterparty acknowledges its responsibilities under applicable securities laws, and in particular Section 9 and Section 10(b) of the Exchange Act (as defined below) and the rules and regulations thereunder, in respect of any affirmative election of a settlement method with respect to the Exchangeable Notes.</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Additional Call Option Confirmation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53"/>
        <w:gridCol w:w="123"/>
        <w:gridCol w:w="7729"/>
      </w:tblGrid>
      <w:tr>
        <w:trPr/>
        <w:tc>
          <w:tcPr>
            <w:tcW w:w="23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2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pPr>
            <w:r>
              <w:rPr/>
              <w:t>Valuation Time:</w:t>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At the close of trading of the regular trading session on the Exchange; provided that if the principal trading session is extended, the Calculation Agent shall determine the Valuation Time in its commercially reasonable discretion.</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pPr>
            <w:r>
              <w:rPr/>
              <w:t>Market Disruption Event:</w:t>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A “VWAP Market Disruption Event” as defined in the Indenture.</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i/>
                <w:u w:val="single"/>
              </w:rPr>
            </w:pPr>
            <w:r>
              <w:rPr>
                <w:i/>
                <w:u w:val="single"/>
              </w:rPr>
              <w:t>Settlement Terms.</w:t>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sz w:val="4"/>
                <w:szCs w:val="4"/>
              </w:rPr>
            </w:pPr>
            <w:r>
              <w:rPr>
                <w:sz w:val="4"/>
                <w:szCs w:val="4"/>
              </w:rPr>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pPr>
            <w:r>
              <w:rPr/>
              <w:t>Settlement Method:</w:t>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For any Option, Net Share Settlement; provided that if the Relevant Settlement Method set forth below for such Option is not Net Share Settlement, then the Settlement Method for such Option shall be such Relevant Settlement Method, but only if Counterparty shall have notified Dealer of the Relevant Settlement Method in the Notice of Final Settlement Method for such Option.</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pPr>
            <w:r>
              <w:rPr/>
              <w:t>Relevant Settlement Method:</w:t>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In respect of any Option:</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(i) if Counterparty has not elected to settle all or any portion of its exchange obligations in respect of the related Exchangeable Note in excess of the principal amount thereof in cash either by specifying a Cash Percentage of 0% or not timely specifying a Cash Percentage, in each case, pursuant to Section [5.03(A)(i)(3)]23 of the Indenture, then the Relevant Settlement Method for such Option shall be Net Share Settlement;</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(ii) if Counterparty has elected to settle its exchange obligations in respect of the related Exchangeable Note in excess of the principal amount thereof in a combination of cash and Shares by specifying a Cash Percentage less than 100% but greater than 0% pursuant to Section [5.03(A)(i)(3)]24 of the Indenture, then the Relevant Settlement Method for such Option shall be Combination Settlement; and</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(iii) if Counterparty has elected to settle its exchange obligations in respect of the related Exchangeable Note in excess of the principal amount thereof entirely in cash by specifying a Cash Percentage of 100% pursuant to Section [5.03(A)(i)(3)]25 of the Indenture, then the Relevant Settlement Method for such Option shall be Cash Settlement.</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pPr>
            <w:r>
              <w:rPr/>
              <w:t>Net Share Settlement:</w:t>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If Net Share Settlement is applicable to any Option exercised or deemed exercised hereunder, Dealer will deliver to Counterparty, on the relevant Settlement Date for each such Option, a number of Shares (the “</w:t>
            </w:r>
            <w:r>
              <w:rPr>
                <w:b/>
              </w:rPr>
              <w:t>Net Share Settlement Amount</w:t>
            </w:r>
            <w:r>
              <w:rPr/>
              <w:t>”) equal to the sum, for each Valid Day during the Settlement Averaging Period for each such Option, of (i) (a) the Daily Option Value for such Valid Day, divided by (b) the Relevant Price on such Valid Day, divided by (ii) the number of Valid Days in the Settlement Averaging Period; provided that in no event shall the Net Share Settlement Amount for any Option exceed a number of Shares equal to the Applicable Limit for such Option divided by the Applicable Limit Price on the Settlement Date for such Option.</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Dealer will pay cash in lieu of delivering any fractional Shares to be delivered with respect to any Net Share Settlement Amount valued at the Relevant Price for the last Valid Day of the Settlement Averaging Period.</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pursuant to which the Company elects a Cash Percentage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pursuant to which the Company elects a Cash Percentage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pursuant to which the Company elects a Cash Percentage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91"/>
        <w:gridCol w:w="122"/>
        <w:gridCol w:w="7692"/>
      </w:tblGrid>
      <w:tr>
        <w:trPr/>
        <w:tc>
          <w:tcPr>
            <w:tcW w:w="239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9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Combination Settlement:</w:t>
            </w:r>
          </w:p>
        </w:tc>
        <w:tc>
          <w:tcPr>
            <w:tcW w:w="122"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If Combination Settlement is applicable to any Option exercised or deemed exercised hereunder, Dealer will pay or deliver, as the case may be, to Counterparty, on the relevant Settlement Date for each such Option:</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(i) cash (the “</w:t>
            </w:r>
            <w:r>
              <w:rPr>
                <w:b/>
              </w:rPr>
              <w:t>Combination Settlement Cash Amount</w:t>
            </w:r>
            <w:r>
              <w:rPr/>
              <w:t>”) equal to the sum, for each Valid Day during the Settlement Averaging Period for such Option, of (A) an amount for such Valid Day (the “</w:t>
            </w:r>
            <w:r>
              <w:rPr>
                <w:b/>
              </w:rPr>
              <w:t>Daily Combination Settlement Cash Amount</w:t>
            </w:r>
            <w:r>
              <w:rPr/>
              <w:t>”) equal to the product of (1) the Cash Percentage and (2) the Daily Option Value for such Valid Day, divided by (B) the number of Valid Days in the Settlement Averaging Period; provided that if the calculation in clause (A) above results in zero or a negative number for any Valid Day, the Daily Combination Settlement Cash Amount for such Valid Day shall be deemed to be zero; and</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(ii) Shares (the “</w:t>
            </w:r>
            <w:r>
              <w:rPr>
                <w:b/>
              </w:rPr>
              <w:t>Combination Settlement Share Amount</w:t>
            </w:r>
            <w:r>
              <w:rPr/>
              <w:t>”) equal to the sum, for each Valid Day during the Settlement Averaging Period for such Option, of a number of Shares for such Valid Day (the “</w:t>
            </w:r>
            <w:r>
              <w:rPr>
                <w:b/>
              </w:rPr>
              <w:t>Daily Combination Settlement Share Amount</w:t>
            </w:r>
            <w:r>
              <w:rPr/>
              <w:t>”) equal to (A) (1) the Daily Option Value on such Valid Day minus the Daily Combination Settlement Cash Amount for such Valid Day, divided by (2) the Relevant Price on such Valid Day, divided by (B) the number of Valid Days in the Settlement Averaging Period; provided that if the calculation in sub-clause (A)(1) above results in zero or a negative number for any Valid Day, the Daily Combination Settlement Share Amount for such Valid Day shall be deemed to be zero;</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provided that in no event shall the sum of (x) the Combination Settlement Cash Amount for any Option and (y) the Combination Settlement Share Amount for such Option multiplied by the Applicable Limit Price on the Settlement Date for such Option, exceed the Applicable Limit for such Option.</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Dealer will pay cash in lieu of delivering any fractional Shares to be delivered with respect to any Combination Settlement Share Amount valued at the Relevant Price for the last Valid Day of the Settlement Averaging Period.</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Cash Settlement:</w:t>
            </w:r>
          </w:p>
        </w:tc>
        <w:tc>
          <w:tcPr>
            <w:tcW w:w="122"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If Cash Settlement is applicable to any Option exercised or deemed exercised hereunder, in lieu of Section 8.1 of the Equity Definitions, Dealer will pay to Counterparty, on the relevant Settlement Date for each such Option, an amount of cash (the “</w:t>
            </w:r>
            <w:r>
              <w:rPr>
                <w:b/>
              </w:rPr>
              <w:t>Cash Settlement Amount</w:t>
            </w:r>
            <w:r>
              <w:rPr/>
              <w:t>”) equal to the sum, for each Valid Day during the Settlement Averaging Period for such Option, of (i) the Daily Option Value for such Valid Day, divided by (ii) the number of Valid Days in the Settlement Averaging Period; provided that in no event shall the Cash Settlement Amount for any Option exceed the Applicable Limit for such Option.</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Daily Option Value:</w:t>
            </w:r>
          </w:p>
        </w:tc>
        <w:tc>
          <w:tcPr>
            <w:tcW w:w="122"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For any Valid Day, an amount equal to (i) the Option Entitlement on such Valid Day, multiplied by (ii) (A) the lesser of the Relevant Price on such Valid Day and the Cap Price, less (B) the Strike Price on such Valid Day; provided that if the calculation contained in clause (ii) above results in a negative number, the Daily Option Value for such Valid Day shall be deemed to be zero. In no event will the Daily Option Value be less than zero.</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Applicable Limit:</w:t>
            </w:r>
          </w:p>
        </w:tc>
        <w:tc>
          <w:tcPr>
            <w:tcW w:w="122"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For any Option, an amount of cash equal to the Applicable Percentage multiplied by the excess of (i) the aggregate of (A) the amount of cash paid to the “Holder” (as such term is defined in the Indenture) of the related Exchangeable Note upon exchange of such Exchangeable Note and (B) the number of Shares, if any, delivered to the “Holder” (as such term is defined in the Indenture) of the related Exchangeable Note upon exchange of such Exchangeable Note multiplied by the Applicable Limit Price on the Settlement Date for such Option, over (ii) USD 1,000.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00"/>
        <w:gridCol w:w="121"/>
        <w:gridCol w:w="7684"/>
      </w:tblGrid>
      <w:tr>
        <w:trPr/>
        <w:tc>
          <w:tcPr>
            <w:tcW w:w="24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8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Applicable Limit Price:</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On any day, the opening price as displayed under the heading “Op” on Bloomberg page MAC &lt;equity&gt; (or any successor thereto).</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Valid Day:</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A “VWAP Trading Day” as defined in the Indenture.</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Scheduled Valid Day:</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A “Scheduled Trading Day” as defined in the Indenture.</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Business Day:</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A “Business Day” as defined in the Indenture.</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Relevant Price:</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On any Valid Day, the per Share volume-weighted average price as displayed under the heading “Bloomberg VWAP” on Bloomberg page MAC &lt;equity&gt; AQR (or its equivalent successor if such page is not available) in respect of the period from the scheduled open of trading on the Exchange to the Scheduled Closing Time of the Exchange on such Valid Day (or if such volume-weighted average price is unavailable at such time, the market value of one Share on such Valid Day, as determined by the Calculation Agent in a commercially reasonable manner using, if practicable, a volume-weighted average method). The Relevant Price will be determined without regard to after-hours trading or any other trading outside of the regular trading session trading hours.</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Settlement Averaging Period:</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For any Option, the 40 consecutive Valid Days commencing on, and including, the 41st Scheduled Valid Day immediately prior to the Expiration Date.</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For any Option, the second Business Day immediately following the final Valid Day of the Settlement Averaging Period for such Option.</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Settlement Currency:</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USD</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Other Applicable Provisions:</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The provisions of Sections 9.1(c), 9.8, 9.9 and 9.11 of the Equity Definitions will be applicable, except that all references in such provisions to “Physical Settlement” or “Physically-settled” shall be read as references to “Share Settled”. “Share Settled” in relation to any Option means that Net Share Settlement or Combination Settlement is applicable to that Option.</w:t>
            </w:r>
          </w:p>
        </w:tc>
      </w:tr>
      <w:tr>
        <w:trPr>
          <w:trHeight w:val="120" w:hRule="atLeast"/>
        </w:trPr>
        <w:tc>
          <w:tcPr>
            <w:tcW w:w="24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283"/>
              <w:jc w:val="left"/>
              <w:rPr/>
            </w:pPr>
            <w:r>
              <w:rPr/>
              <w:t>Representation and Agreement:</w:t>
            </w:r>
          </w:p>
        </w:tc>
        <w:tc>
          <w:tcPr>
            <w:tcW w:w="121" w:type="dxa"/>
            <w:tcBorders/>
            <w:vAlign w:val="bottom"/>
          </w:tcPr>
          <w:p>
            <w:pPr>
              <w:pStyle w:val="TableContents"/>
              <w:bidi w:val="0"/>
              <w:spacing w:before="0" w:after="283"/>
              <w:jc w:val="left"/>
              <w:rPr/>
            </w:pPr>
            <w:r>
              <w:rPr/>
              <w:t>  </w:t>
            </w:r>
          </w:p>
        </w:tc>
        <w:tc>
          <w:tcPr>
            <w:tcW w:w="7684" w:type="dxa"/>
            <w:tcBorders/>
          </w:tcPr>
          <w:p>
            <w:pPr>
              <w:pStyle w:val="TableContents"/>
              <w:bidi w:val="0"/>
              <w:spacing w:before="0" w:after="283"/>
              <w:jc w:val="left"/>
              <w:rPr/>
            </w:pPr>
            <w:r>
              <w:rPr/>
              <w:t>Notwithstanding anything to the contrary in the Equity Definitions (including, but not limited to, Section 9.11 thereof), the parties acknowledge that (i) any Shares delivered to Counterparty shall be, upon delivery, subject to restrictions and limitations arising from (x) Counterparty’s status as a subsidiary of the issuer of the Shares under applicable securities laws and (y) the Articles of Amendment and Restatement of Parent, including subparagraphs (a)(2) and (a)(3) of Article EIGHTH, as amended from time to time (the “</w:t>
            </w:r>
            <w:r>
              <w:rPr>
                <w:b/>
              </w:rPr>
              <w:t>Certificate of Incorporation</w:t>
            </w:r>
            <w:r>
              <w:rPr/>
              <w:t>”), (ii) Dealer may deliver any Shares required to be delivered hereunder in certificated form in lieu of delivery through the Clearance System, (iii) any Shares delivered to Counterparty may be “restricted securities” (as defined in Rule 144 under the Securities Act of 1933, as amended (the “</w:t>
            </w:r>
            <w:r>
              <w:rPr>
                <w:b/>
              </w:rPr>
              <w:t>Securities Act</w:t>
            </w:r>
            <w:r>
              <w:rPr/>
              <w:t>”)) and (iv) the Representation and Agreement contained in Section 9.11 of the Equity Definitions shall be deemed modified accordingly.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3.</w:t>
      </w:r>
      <w:r>
        <w:rPr>
          <w:rFonts w:ascii="Times New Roman" w:hAnsi="Times New Roman"/>
          <w:sz w:val="20"/>
        </w:rPr>
        <w:t xml:space="preserve"> </w:t>
      </w:r>
      <w:r>
        <w:rPr>
          <w:rFonts w:ascii="Times New Roman" w:hAnsi="Times New Roman"/>
          <w:b/>
          <w:sz w:val="20"/>
          <w:u w:val="single"/>
        </w:rPr>
        <w:t>Additional Terms applicable to the Transaction</w:t>
      </w:r>
      <w:r>
        <w:rPr>
          <w:rFonts w:ascii="Times New Roman" w:hAnsi="Times New Roman"/>
          <w:sz w:val="20"/>
          <w:u w:val="single"/>
        </w:rPr>
        <w: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2"/>
        <w:gridCol w:w="120"/>
        <w:gridCol w:w="7733"/>
      </w:tblGrid>
      <w:tr>
        <w:trPr/>
        <w:tc>
          <w:tcPr>
            <w:tcW w:w="2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33" w:type="dxa"/>
            <w:tcBorders/>
            <w:vAlign w:val="center"/>
          </w:tcPr>
          <w:p>
            <w:pPr>
              <w:pStyle w:val="TableContents"/>
              <w:bidi w:val="0"/>
              <w:spacing w:before="0" w:after="283"/>
              <w:jc w:val="left"/>
              <w:rPr>
                <w:sz w:val="4"/>
                <w:szCs w:val="4"/>
              </w:rPr>
            </w:pPr>
            <w:r>
              <w:rPr>
                <w:sz w:val="4"/>
                <w:szCs w:val="4"/>
              </w:rPr>
            </w:r>
          </w:p>
        </w:tc>
      </w:tr>
      <w:tr>
        <w:trPr/>
        <w:tc>
          <w:tcPr>
            <w:tcW w:w="2352" w:type="dxa"/>
            <w:tcBorders/>
          </w:tcPr>
          <w:p>
            <w:pPr>
              <w:pStyle w:val="TableContents"/>
              <w:bidi w:val="0"/>
              <w:spacing w:before="0" w:after="283"/>
              <w:jc w:val="left"/>
              <w:rPr>
                <w:i/>
                <w:u w:val="single"/>
              </w:rPr>
            </w:pPr>
            <w:r>
              <w:rPr>
                <w:i/>
                <w:u w:val="single"/>
              </w:rPr>
              <w:t>Adjustments applicable to the Transaction:</w:t>
            </w:r>
          </w:p>
        </w:tc>
        <w:tc>
          <w:tcPr>
            <w:tcW w:w="120" w:type="dxa"/>
            <w:tcBorders/>
            <w:vAlign w:val="bottom"/>
          </w:tcPr>
          <w:p>
            <w:pPr>
              <w:pStyle w:val="TableContents"/>
              <w:bidi w:val="0"/>
              <w:spacing w:before="0" w:after="283"/>
              <w:jc w:val="left"/>
              <w:rPr/>
            </w:pPr>
            <w:r>
              <w:rPr/>
              <w:t>  </w:t>
            </w:r>
          </w:p>
        </w:tc>
        <w:tc>
          <w:tcPr>
            <w:tcW w:w="773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352" w:type="dxa"/>
            <w:tcBorders/>
            <w:vAlign w:val="center"/>
          </w:tcPr>
          <w:p>
            <w:pPr>
              <w:pStyle w:val="TableContents"/>
              <w:bidi w:val="0"/>
              <w:spacing w:before="0" w:after="283"/>
              <w:jc w:val="left"/>
              <w:rPr>
                <w:sz w:val="4"/>
                <w:szCs w:val="4"/>
              </w:rPr>
            </w:pPr>
            <w:r>
              <w:rPr>
                <w:sz w:val="4"/>
                <w:szCs w:val="4"/>
              </w:rPr>
            </w:r>
          </w:p>
        </w:tc>
        <w:tc>
          <w:tcPr>
            <w:tcW w:w="7853" w:type="dxa"/>
            <w:gridSpan w:val="2"/>
            <w:tcBorders/>
            <w:vAlign w:val="center"/>
          </w:tcPr>
          <w:p>
            <w:pPr>
              <w:pStyle w:val="TableContents"/>
              <w:bidi w:val="0"/>
              <w:spacing w:before="0" w:after="283"/>
              <w:jc w:val="left"/>
              <w:rPr>
                <w:sz w:val="4"/>
                <w:szCs w:val="4"/>
              </w:rPr>
            </w:pPr>
            <w:r>
              <w:rPr>
                <w:sz w:val="4"/>
                <w:szCs w:val="4"/>
              </w:rPr>
            </w:r>
          </w:p>
        </w:tc>
      </w:tr>
      <w:tr>
        <w:trPr/>
        <w:tc>
          <w:tcPr>
            <w:tcW w:w="2352" w:type="dxa"/>
            <w:tcBorders/>
          </w:tcPr>
          <w:p>
            <w:pPr>
              <w:pStyle w:val="TableContents"/>
              <w:bidi w:val="0"/>
              <w:spacing w:before="0" w:after="283"/>
              <w:jc w:val="left"/>
              <w:rPr/>
            </w:pPr>
            <w:r>
              <w:rPr/>
              <w:t>Potential Adjustment Events:</w:t>
            </w:r>
          </w:p>
        </w:tc>
        <w:tc>
          <w:tcPr>
            <w:tcW w:w="120" w:type="dxa"/>
            <w:tcBorders/>
            <w:vAlign w:val="bottom"/>
          </w:tcPr>
          <w:p>
            <w:pPr>
              <w:pStyle w:val="TableContents"/>
              <w:bidi w:val="0"/>
              <w:spacing w:before="0" w:after="283"/>
              <w:jc w:val="left"/>
              <w:rPr/>
            </w:pPr>
            <w:r>
              <w:rPr/>
              <w:t>  </w:t>
            </w:r>
          </w:p>
        </w:tc>
        <w:tc>
          <w:tcPr>
            <w:tcW w:w="7733" w:type="dxa"/>
            <w:tcBorders/>
          </w:tcPr>
          <w:p>
            <w:pPr>
              <w:pStyle w:val="TableContents"/>
              <w:bidi w:val="0"/>
              <w:spacing w:before="0" w:after="283"/>
              <w:jc w:val="left"/>
              <w:rPr/>
            </w:pPr>
            <w:r>
              <w:rPr/>
              <w:t>Notwithstanding Section 11.2(e) of the Equity Definitions, a “Potential Adjustment Event” means an occurrence of any event or condition, as set forth in any Dilution Adjustment Provision, that requires an adjustment under the Indenture to the “Exchange Rate” or the composition of a “Reference Property Unit” or to any “Last Reported Sale Price”, “Daily VWAP,” “Daily Exchange Value,” “Daily Net Settlement Amount” or “Daily Settlement Amount” (as each such term is defined in the Indenture). For the avoidance of doubt, Dealer shall not have any delivery or payment obligation hereunder, and no adjustment shall be made to the terms of the Transaction, on account of (x) any distribution of cash, property or securities by Counterparty or Parent to holders of the Exchangeable Notes (upon exchange or otherwise) or (y) any other transaction in which holders of the Exchangeable Notes are entitled to participate, in each case, in lieu of an adjustment under the Indenture of the type referred to in the immediately preceding sentence (including, without limitation, the proviso to the first sentence of Section [5.05(A)(iii)(1)]26 of the Indenture or the proviso to the first sentence of Section [5.05(A)(iv)]27 of the Indenture).</w:t>
            </w:r>
          </w:p>
        </w:tc>
      </w:tr>
      <w:tr>
        <w:trPr>
          <w:trHeight w:val="120" w:hRule="atLeast"/>
        </w:trPr>
        <w:tc>
          <w:tcPr>
            <w:tcW w:w="2352" w:type="dxa"/>
            <w:tcBorders/>
            <w:vAlign w:val="center"/>
          </w:tcPr>
          <w:p>
            <w:pPr>
              <w:pStyle w:val="TableContents"/>
              <w:bidi w:val="0"/>
              <w:spacing w:before="0" w:after="283"/>
              <w:jc w:val="left"/>
              <w:rPr>
                <w:sz w:val="4"/>
                <w:szCs w:val="4"/>
              </w:rPr>
            </w:pPr>
            <w:r>
              <w:rPr>
                <w:sz w:val="4"/>
                <w:szCs w:val="4"/>
              </w:rPr>
            </w:r>
          </w:p>
        </w:tc>
        <w:tc>
          <w:tcPr>
            <w:tcW w:w="7853" w:type="dxa"/>
            <w:gridSpan w:val="2"/>
            <w:tcBorders/>
            <w:vAlign w:val="center"/>
          </w:tcPr>
          <w:p>
            <w:pPr>
              <w:pStyle w:val="TableContents"/>
              <w:bidi w:val="0"/>
              <w:spacing w:before="0" w:after="283"/>
              <w:jc w:val="left"/>
              <w:rPr>
                <w:sz w:val="4"/>
                <w:szCs w:val="4"/>
              </w:rPr>
            </w:pPr>
            <w:r>
              <w:rPr>
                <w:sz w:val="4"/>
                <w:szCs w:val="4"/>
              </w:rPr>
            </w:r>
          </w:p>
        </w:tc>
      </w:tr>
      <w:tr>
        <w:trPr/>
        <w:tc>
          <w:tcPr>
            <w:tcW w:w="2352" w:type="dxa"/>
            <w:tcBorders/>
          </w:tcPr>
          <w:p>
            <w:pPr>
              <w:pStyle w:val="TableContents"/>
              <w:bidi w:val="0"/>
              <w:spacing w:before="0" w:after="283"/>
              <w:jc w:val="left"/>
              <w:rPr/>
            </w:pPr>
            <w:r>
              <w:rPr/>
              <w:t>Method of Adjustment:</w:t>
            </w:r>
          </w:p>
        </w:tc>
        <w:tc>
          <w:tcPr>
            <w:tcW w:w="120" w:type="dxa"/>
            <w:tcBorders/>
            <w:vAlign w:val="bottom"/>
          </w:tcPr>
          <w:p>
            <w:pPr>
              <w:pStyle w:val="TableContents"/>
              <w:bidi w:val="0"/>
              <w:spacing w:before="0" w:after="283"/>
              <w:jc w:val="left"/>
              <w:rPr/>
            </w:pPr>
            <w:r>
              <w:rPr/>
              <w:t>  </w:t>
            </w:r>
          </w:p>
        </w:tc>
        <w:tc>
          <w:tcPr>
            <w:tcW w:w="7733" w:type="dxa"/>
            <w:tcBorders/>
          </w:tcPr>
          <w:p>
            <w:pPr>
              <w:pStyle w:val="TableContents"/>
              <w:bidi w:val="0"/>
              <w:spacing w:before="0" w:after="283"/>
              <w:jc w:val="left"/>
              <w:rPr/>
            </w:pPr>
            <w:r>
              <w:rPr/>
              <w:t>Calculation Agent Adjustment, which shall not have the meaning set forth in Section 11.2(c) of the Equity Definitions and instead shall mean that, upon any Potential Adjustment Event, the Calculation Agent shall make, in a commercially reasonable manner, a corresponding adjustment in respect of any adjustment to the Exchangeable Notes under the Indenture to any one or more of the Strike Price, Number of Options and Option Entitlement.</w:t>
            </w:r>
          </w:p>
        </w:tc>
      </w:tr>
      <w:tr>
        <w:trPr>
          <w:trHeight w:val="120" w:hRule="atLeast"/>
        </w:trPr>
        <w:tc>
          <w:tcPr>
            <w:tcW w:w="2352" w:type="dxa"/>
            <w:tcBorders/>
            <w:vAlign w:val="center"/>
          </w:tcPr>
          <w:p>
            <w:pPr>
              <w:pStyle w:val="TableContents"/>
              <w:bidi w:val="0"/>
              <w:spacing w:before="0" w:after="283"/>
              <w:jc w:val="left"/>
              <w:rPr>
                <w:sz w:val="4"/>
                <w:szCs w:val="4"/>
              </w:rPr>
            </w:pPr>
            <w:r>
              <w:rPr>
                <w:sz w:val="4"/>
                <w:szCs w:val="4"/>
              </w:rPr>
            </w:r>
          </w:p>
        </w:tc>
        <w:tc>
          <w:tcPr>
            <w:tcW w:w="7853" w:type="dxa"/>
            <w:gridSpan w:val="2"/>
            <w:tcBorders/>
            <w:vAlign w:val="center"/>
          </w:tcPr>
          <w:p>
            <w:pPr>
              <w:pStyle w:val="TableContents"/>
              <w:bidi w:val="0"/>
              <w:spacing w:before="0" w:after="283"/>
              <w:jc w:val="left"/>
              <w:rPr>
                <w:sz w:val="4"/>
                <w:szCs w:val="4"/>
              </w:rPr>
            </w:pPr>
            <w:r>
              <w:rPr>
                <w:sz w:val="4"/>
                <w:szCs w:val="4"/>
              </w:rPr>
            </w:r>
          </w:p>
        </w:tc>
      </w:tr>
      <w:tr>
        <w:trPr/>
        <w:tc>
          <w:tcPr>
            <w:tcW w:w="2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33" w:type="dxa"/>
            <w:tcBorders/>
          </w:tcPr>
          <w:p>
            <w:pPr>
              <w:pStyle w:val="TableContents"/>
              <w:bidi w:val="0"/>
              <w:spacing w:before="0" w:after="283"/>
              <w:jc w:val="left"/>
              <w:rPr/>
            </w:pPr>
            <w:r>
              <w:rPr/>
              <w:t>Notwithstanding the foregoing and “Consequences of Merger Events / Tender Offers” below, if the Calculation Agent in good faith disagrees with any adjustment to the Exchangeable Notes determined pursuant to the Indenture that involves an exercise of discretion by Counterparty or its or Parent’s board of directors (or equivalent governing body) (including, without limitation, pursuant to Section [5.05(H)]28 of the Indenture, Section [5.09]29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and Option Entitlement, using, if applicable, the methodology set forth in the Indenture for any such adjustment, in good faith and in a commercially reasonable manner.</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26 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sentence / section of Indenture that provides that if the FMV of the distribution is equal to or greater than the Last Reported Sale Price, then no adjustment to the Exchange Rate will be made.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sentence / section of Indenture that provides that if the cash dividend equal to or greater than the Last Reported Sale Price, then adjustment to the Exchange Rate will be made.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28 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requires the company to make equitable adjustments.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29 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section of the indenture that relates to a Common Stock Change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40"/>
        <w:gridCol w:w="123"/>
        <w:gridCol w:w="7642"/>
      </w:tblGrid>
      <w:tr>
        <w:trPr/>
        <w:tc>
          <w:tcPr>
            <w:tcW w:w="24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4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40" w:type="dxa"/>
            <w:tcBorders/>
            <w:vAlign w:val="center"/>
          </w:tcPr>
          <w:p>
            <w:pPr>
              <w:pStyle w:val="TableContents"/>
              <w:bidi w:val="0"/>
              <w:spacing w:before="0" w:after="283"/>
              <w:jc w:val="left"/>
              <w:rPr>
                <w:sz w:val="4"/>
                <w:szCs w:val="4"/>
              </w:rPr>
            </w:pPr>
            <w:r>
              <w:rPr>
                <w:sz w:val="4"/>
                <w:szCs w:val="4"/>
              </w:rPr>
            </w:r>
          </w:p>
        </w:tc>
        <w:tc>
          <w:tcPr>
            <w:tcW w:w="7765"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42" w:type="dxa"/>
            <w:tcBorders/>
          </w:tcPr>
          <w:p>
            <w:pPr>
              <w:pStyle w:val="TableContents"/>
              <w:bidi w:val="0"/>
              <w:spacing w:before="0" w:after="283"/>
              <w:jc w:val="left"/>
              <w:rPr/>
            </w:pPr>
            <w:r>
              <w:rPr/>
              <w:t>Notwithstanding anything contained herein to the contrary, (i) in connection with any Potential Adjustment Event as a result of an event or condition set forth in Section [5.05(A)(ii)]30 of the Indenture or Section [5.05(A)(iii)(1)]31 of the Indenture where, in either case, the period for determining “Y” (as such term is used in Section [5.05(A)(ii)]32 of the Indenture) or “SP” (as such term is used in Section [5.05(A)(iii)(1)]33 of the Indenture), as the case may be, begins before Parent has publicly announced the event or condition giving rise to such Potential Adjustment Event, then the Calculation Agent shall, acting in good faith and in a commercially reasonable manner, have the right to adjust any one or more of the Strike Price, Number of Options and Option Entitlement as appropriate to reflect the commercially reasonable costs incurred by Dealer in connection with its hedging activities, with such adjustments to be made assuming that Dealer maintains commercially reasonable hedge positions, as a result of such event or condition not having been publicly announced prior to the beginning of such period and (ii) if any Potential Adjustment Event is declared and (a) the event or condition giving rise to such Potential Adjustment Event is subsequently amended, modified, cancelled or abandoned, (b) the “Exchange Rate” (as such term is defined in the Indenture) is otherwise not adjusted at the time or in the manner contemplated by the relevant Dilution Adjustment Provision based on such declaration or (c) the “Exchange Rate” (as such term is defined in the Indenture) is adjusted as a result of such Potential Adjustment Event and subsequently re-adjusted (each of clauses (a), (b) and (c), a “</w:t>
            </w:r>
            <w:r>
              <w:rPr>
                <w:b/>
              </w:rPr>
              <w:t>Potential Adjustment Event Change</w:t>
            </w:r>
            <w:r>
              <w:rPr/>
              <w:t>”) then, in each case, the Calculation Agent shall have the right to adjust any one or more of the Strike Price, Number of Options and Option Entitlement as appropriate to reflect the reasonable costs documented in reasonable detail (including, but not limited to, hedging mismatches and market losses) and reasonable expenses incurred by Dealer in connection with its commercially reasonable hedging activities as a result of such Potential Adjustment Event Change, with such adjustments to be made assuming that Dealer maintains commercially reasonable hedge positions.</w:t>
            </w:r>
          </w:p>
        </w:tc>
      </w:tr>
      <w:tr>
        <w:trPr>
          <w:trHeight w:val="120" w:hRule="atLeast"/>
        </w:trPr>
        <w:tc>
          <w:tcPr>
            <w:tcW w:w="2440" w:type="dxa"/>
            <w:tcBorders/>
            <w:vAlign w:val="center"/>
          </w:tcPr>
          <w:p>
            <w:pPr>
              <w:pStyle w:val="TableContents"/>
              <w:bidi w:val="0"/>
              <w:spacing w:before="0" w:after="283"/>
              <w:jc w:val="left"/>
              <w:rPr>
                <w:sz w:val="4"/>
                <w:szCs w:val="4"/>
              </w:rPr>
            </w:pPr>
            <w:r>
              <w:rPr>
                <w:sz w:val="4"/>
                <w:szCs w:val="4"/>
              </w:rPr>
            </w:r>
          </w:p>
        </w:tc>
        <w:tc>
          <w:tcPr>
            <w:tcW w:w="7765"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283"/>
              <w:jc w:val="left"/>
              <w:rPr/>
            </w:pPr>
            <w:r>
              <w:rPr/>
              <w:t>Dilution Adjustment Provisions:</w:t>
            </w:r>
          </w:p>
        </w:tc>
        <w:tc>
          <w:tcPr>
            <w:tcW w:w="123" w:type="dxa"/>
            <w:tcBorders/>
            <w:vAlign w:val="bottom"/>
          </w:tcPr>
          <w:p>
            <w:pPr>
              <w:pStyle w:val="TableContents"/>
              <w:bidi w:val="0"/>
              <w:spacing w:before="0" w:after="283"/>
              <w:jc w:val="left"/>
              <w:rPr/>
            </w:pPr>
            <w:r>
              <w:rPr/>
              <w:t>  </w:t>
            </w:r>
          </w:p>
        </w:tc>
        <w:tc>
          <w:tcPr>
            <w:tcW w:w="7642" w:type="dxa"/>
            <w:tcBorders/>
          </w:tcPr>
          <w:p>
            <w:pPr>
              <w:pStyle w:val="TableContents"/>
              <w:bidi w:val="0"/>
              <w:spacing w:before="0" w:after="283"/>
              <w:jc w:val="left"/>
              <w:rPr/>
            </w:pPr>
            <w:r>
              <w:rPr/>
              <w:t>Sections [5.05(A)(i), (ii), (iii), (iv) and (v)]34 and Section [5.05(H)]35 of the Indenture.</w:t>
            </w:r>
          </w:p>
        </w:tc>
      </w:tr>
      <w:tr>
        <w:trPr>
          <w:trHeight w:val="120" w:hRule="atLeast"/>
        </w:trPr>
        <w:tc>
          <w:tcPr>
            <w:tcW w:w="2440" w:type="dxa"/>
            <w:tcBorders/>
            <w:vAlign w:val="center"/>
          </w:tcPr>
          <w:p>
            <w:pPr>
              <w:pStyle w:val="TableContents"/>
              <w:bidi w:val="0"/>
              <w:spacing w:before="0" w:after="283"/>
              <w:jc w:val="left"/>
              <w:rPr>
                <w:sz w:val="4"/>
                <w:szCs w:val="4"/>
              </w:rPr>
            </w:pPr>
            <w:r>
              <w:rPr>
                <w:sz w:val="4"/>
                <w:szCs w:val="4"/>
              </w:rPr>
            </w:r>
          </w:p>
        </w:tc>
        <w:tc>
          <w:tcPr>
            <w:tcW w:w="7765"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283"/>
              <w:jc w:val="left"/>
              <w:rPr>
                <w:i/>
                <w:u w:val="single"/>
              </w:rPr>
            </w:pPr>
            <w:r>
              <w:rPr>
                <w:i/>
                <w:u w:val="single"/>
              </w:rPr>
              <w:t>Extraordinary Events applicable to the Transaction:</w:t>
            </w:r>
          </w:p>
        </w:tc>
        <w:tc>
          <w:tcPr>
            <w:tcW w:w="123" w:type="dxa"/>
            <w:tcBorders/>
            <w:vAlign w:val="bottom"/>
          </w:tcPr>
          <w:p>
            <w:pPr>
              <w:pStyle w:val="TableContents"/>
              <w:bidi w:val="0"/>
              <w:spacing w:before="0" w:after="283"/>
              <w:jc w:val="left"/>
              <w:rPr/>
            </w:pPr>
            <w:r>
              <w:rPr/>
              <w:t>  </w:t>
            </w:r>
          </w:p>
        </w:tc>
        <w:tc>
          <w:tcPr>
            <w:tcW w:w="7642" w:type="dxa"/>
            <w:tcBorders/>
          </w:tcPr>
          <w:p>
            <w:pPr>
              <w:pStyle w:val="TableContents"/>
              <w:bidi w:val="0"/>
              <w:spacing w:before="0" w:after="283"/>
              <w:jc w:val="left"/>
              <w:rPr>
                <w:sz w:val="4"/>
                <w:szCs w:val="4"/>
              </w:rPr>
            </w:pPr>
            <w:r>
              <w:rPr>
                <w:sz w:val="4"/>
                <w:szCs w:val="4"/>
              </w:rPr>
            </w:r>
          </w:p>
        </w:tc>
      </w:tr>
      <w:tr>
        <w:trPr>
          <w:trHeight w:val="120" w:hRule="atLeast"/>
        </w:trPr>
        <w:tc>
          <w:tcPr>
            <w:tcW w:w="2440" w:type="dxa"/>
            <w:tcBorders/>
            <w:vAlign w:val="center"/>
          </w:tcPr>
          <w:p>
            <w:pPr>
              <w:pStyle w:val="TableContents"/>
              <w:bidi w:val="0"/>
              <w:spacing w:before="0" w:after="283"/>
              <w:jc w:val="left"/>
              <w:rPr>
                <w:sz w:val="4"/>
                <w:szCs w:val="4"/>
              </w:rPr>
            </w:pPr>
            <w:r>
              <w:rPr>
                <w:sz w:val="4"/>
                <w:szCs w:val="4"/>
              </w:rPr>
            </w:r>
          </w:p>
        </w:tc>
        <w:tc>
          <w:tcPr>
            <w:tcW w:w="7765"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283"/>
              <w:jc w:val="left"/>
              <w:rPr/>
            </w:pPr>
            <w:r>
              <w:rPr/>
              <w:t>Merger Events:</w:t>
            </w:r>
          </w:p>
        </w:tc>
        <w:tc>
          <w:tcPr>
            <w:tcW w:w="123" w:type="dxa"/>
            <w:tcBorders/>
            <w:vAlign w:val="bottom"/>
          </w:tcPr>
          <w:p>
            <w:pPr>
              <w:pStyle w:val="TableContents"/>
              <w:bidi w:val="0"/>
              <w:spacing w:before="0" w:after="283"/>
              <w:jc w:val="left"/>
              <w:rPr/>
            </w:pPr>
            <w:r>
              <w:rPr/>
              <w:t>  </w:t>
            </w:r>
          </w:p>
        </w:tc>
        <w:tc>
          <w:tcPr>
            <w:tcW w:w="7642" w:type="dxa"/>
            <w:tcBorders/>
          </w:tcPr>
          <w:p>
            <w:pPr>
              <w:pStyle w:val="TableContents"/>
              <w:bidi w:val="0"/>
              <w:spacing w:before="0" w:after="283"/>
              <w:jc w:val="left"/>
              <w:rPr/>
            </w:pPr>
            <w:r>
              <w:rPr/>
              <w:t xml:space="preserve">Applicable; </w:t>
            </w:r>
            <w:r>
              <w:rPr>
                <w:i/>
              </w:rPr>
              <w:t xml:space="preserve">provided </w:t>
            </w:r>
            <w:r>
              <w:rPr/>
              <w:t>that notwithstanding Section 12.1(b) of the Equity Definitions, a “Merger Event” means the occurrence of any event or condition set forth in the definition of “Common Stock Change Event” in Section [5.09(A)]36 of the Indenture.</w:t>
            </w:r>
          </w:p>
        </w:tc>
      </w:tr>
      <w:tr>
        <w:trPr>
          <w:trHeight w:val="120" w:hRule="atLeast"/>
        </w:trPr>
        <w:tc>
          <w:tcPr>
            <w:tcW w:w="2440" w:type="dxa"/>
            <w:tcBorders/>
            <w:vAlign w:val="center"/>
          </w:tcPr>
          <w:p>
            <w:pPr>
              <w:pStyle w:val="TableContents"/>
              <w:bidi w:val="0"/>
              <w:spacing w:before="0" w:after="283"/>
              <w:jc w:val="left"/>
              <w:rPr>
                <w:sz w:val="4"/>
                <w:szCs w:val="4"/>
              </w:rPr>
            </w:pPr>
            <w:r>
              <w:rPr>
                <w:sz w:val="4"/>
                <w:szCs w:val="4"/>
              </w:rPr>
            </w:r>
          </w:p>
        </w:tc>
        <w:tc>
          <w:tcPr>
            <w:tcW w:w="7765"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283"/>
              <w:jc w:val="left"/>
              <w:rPr/>
            </w:pPr>
            <w:r>
              <w:rPr/>
              <w:t>Tender Offers:</w:t>
            </w:r>
          </w:p>
        </w:tc>
        <w:tc>
          <w:tcPr>
            <w:tcW w:w="123" w:type="dxa"/>
            <w:tcBorders/>
            <w:vAlign w:val="bottom"/>
          </w:tcPr>
          <w:p>
            <w:pPr>
              <w:pStyle w:val="TableContents"/>
              <w:bidi w:val="0"/>
              <w:spacing w:before="0" w:after="283"/>
              <w:jc w:val="left"/>
              <w:rPr/>
            </w:pPr>
            <w:r>
              <w:rPr/>
              <w:t>  </w:t>
            </w:r>
          </w:p>
        </w:tc>
        <w:tc>
          <w:tcPr>
            <w:tcW w:w="7642" w:type="dxa"/>
            <w:tcBorders/>
          </w:tcPr>
          <w:p>
            <w:pPr>
              <w:pStyle w:val="TableContents"/>
              <w:bidi w:val="0"/>
              <w:spacing w:before="0" w:after="283"/>
              <w:jc w:val="left"/>
              <w:rPr/>
            </w:pPr>
            <w:r>
              <w:rPr/>
              <w:t xml:space="preserve">Applicable; </w:t>
            </w:r>
            <w:r>
              <w:rPr>
                <w:i/>
              </w:rPr>
              <w:t xml:space="preserve">provided </w:t>
            </w:r>
            <w:r>
              <w:rPr/>
              <w:t>that “Tender Offer” shall not have the meaning set forth in Section 12.1(d) of the Equity Definitions and instead shall mean the occurrence of any event or condition set forth in Section [5.05(A)(v)]37 of the Indenture.</w:t>
            </w:r>
          </w:p>
        </w:tc>
      </w:tr>
      <w:tr>
        <w:trPr>
          <w:trHeight w:val="120" w:hRule="atLeast"/>
        </w:trPr>
        <w:tc>
          <w:tcPr>
            <w:tcW w:w="2440" w:type="dxa"/>
            <w:tcBorders/>
            <w:vAlign w:val="center"/>
          </w:tcPr>
          <w:p>
            <w:pPr>
              <w:pStyle w:val="TableContents"/>
              <w:bidi w:val="0"/>
              <w:spacing w:before="0" w:after="283"/>
              <w:jc w:val="left"/>
              <w:rPr>
                <w:sz w:val="4"/>
                <w:szCs w:val="4"/>
              </w:rPr>
            </w:pPr>
            <w:r>
              <w:rPr>
                <w:sz w:val="4"/>
                <w:szCs w:val="4"/>
              </w:rPr>
            </w:r>
          </w:p>
        </w:tc>
        <w:tc>
          <w:tcPr>
            <w:tcW w:w="7765"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283"/>
              <w:jc w:val="left"/>
              <w:rPr/>
            </w:pPr>
            <w:r>
              <w:rPr/>
              <w:t>Consequences of Merger Events / Tender Offers:</w:t>
            </w:r>
          </w:p>
        </w:tc>
        <w:tc>
          <w:tcPr>
            <w:tcW w:w="123" w:type="dxa"/>
            <w:tcBorders/>
            <w:vAlign w:val="bottom"/>
          </w:tcPr>
          <w:p>
            <w:pPr>
              <w:pStyle w:val="TableContents"/>
              <w:bidi w:val="0"/>
              <w:spacing w:before="0" w:after="283"/>
              <w:jc w:val="left"/>
              <w:rPr/>
            </w:pPr>
            <w:r>
              <w:rPr/>
              <w:t>  </w:t>
            </w:r>
          </w:p>
        </w:tc>
        <w:tc>
          <w:tcPr>
            <w:tcW w:w="7642" w:type="dxa"/>
            <w:tcBorders/>
          </w:tcPr>
          <w:p>
            <w:pPr>
              <w:pStyle w:val="TableContents"/>
              <w:bidi w:val="0"/>
              <w:spacing w:before="0" w:after="283"/>
              <w:jc w:val="left"/>
              <w:rPr/>
            </w:pPr>
            <w:r>
              <w:rPr/>
              <w:t>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and Option Entitlement to the extent that an analogous adjustment is required to be made pursuant to the Indenture in respect of such Merger Event or Tender Offer, subject to the second paragraph under “Method of</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30 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includes an Exchange Rate adjustment provision for the distribution of rights, options or warrants entitling recipients to exercise for no more than 60 calendar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the Indenture that includes an Exchange Rate adjustment provision for the distributions other than spin-offs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includes an Exchange Rate adjustment provision for the distribution of rights, options or warrants entitling recipients to exercise for no more than 60 calendar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the Indenture that includes an Exchange Rate adjustment provision for the distributions other than spin-offs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sections of the Indenture that includes the Exchange Rate adjustments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allows for the company to make equitable adjustments to the Exchange Rate.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36 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where Common Stock Change Event is defined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adjusts for below market acquisitions of stock in a tender or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16"/>
        <w:gridCol w:w="121"/>
        <w:gridCol w:w="7668"/>
      </w:tblGrid>
      <w:tr>
        <w:trPr/>
        <w:tc>
          <w:tcPr>
            <w:tcW w:w="24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6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16" w:type="dxa"/>
            <w:tcBorders/>
            <w:vAlign w:val="center"/>
          </w:tcPr>
          <w:p>
            <w:pPr>
              <w:pStyle w:val="TableContents"/>
              <w:bidi w:val="0"/>
              <w:spacing w:before="0" w:after="283"/>
              <w:jc w:val="left"/>
              <w:rPr>
                <w:sz w:val="4"/>
                <w:szCs w:val="4"/>
              </w:rPr>
            </w:pPr>
            <w:r>
              <w:rPr>
                <w:sz w:val="4"/>
                <w:szCs w:val="4"/>
              </w:rPr>
            </w:r>
          </w:p>
        </w:tc>
        <w:tc>
          <w:tcPr>
            <w:tcW w:w="7789" w:type="dxa"/>
            <w:gridSpan w:val="2"/>
            <w:tcBorders/>
            <w:vAlign w:val="center"/>
          </w:tcPr>
          <w:p>
            <w:pPr>
              <w:pStyle w:val="TableContents"/>
              <w:bidi w:val="0"/>
              <w:spacing w:before="0" w:after="283"/>
              <w:jc w:val="left"/>
              <w:rPr>
                <w:sz w:val="4"/>
                <w:szCs w:val="4"/>
              </w:rPr>
            </w:pPr>
            <w:r>
              <w:rPr>
                <w:sz w:val="4"/>
                <w:szCs w:val="4"/>
              </w:rPr>
            </w:r>
          </w:p>
        </w:tc>
      </w:tr>
      <w:tr>
        <w:trPr/>
        <w:tc>
          <w:tcPr>
            <w:tcW w:w="241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 xml:space="preserve">Adjustment”; </w:t>
            </w:r>
            <w:r>
              <w:rPr>
                <w:i/>
              </w:rPr>
              <w:t>provided</w:t>
            </w:r>
            <w:r>
              <w:rPr/>
              <w:t xml:space="preserve">, </w:t>
            </w:r>
            <w:r>
              <w:rPr>
                <w:i/>
              </w:rPr>
              <w:t>however</w:t>
            </w:r>
            <w:r>
              <w:rPr/>
              <w:t xml:space="preserve">, that such adjustment shall be made without regard to any adjustment to the “Exchange Rate” (as such term is defined in the Indenture) pursuant to any Excluded Provision; </w:t>
            </w:r>
            <w:r>
              <w:rPr>
                <w:i/>
              </w:rPr>
              <w:t xml:space="preserve">provided further </w:t>
            </w:r>
            <w:r>
              <w:rPr/>
              <w:t xml:space="preserve">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limited liability company, partnership or other similar entity, in each case treated as a U.S. corporation or a partnership for U.S. federal income tax purposes, organized under the laws of the United States, any State thereof or the District of Columbia, then, in either case, Cancellation and Payment (Calculation Agent Determination) may apply at Dealer’s reasonable election if (A) Dealer determines in a commercially reasonable manner at any time following the occurrence of such Merger Event or Tender Offer that (x) such Merger Event or Tender Offer has had or will have an adverse effect on Dealer’s rights and obligations under the Transaction or (y) Dealer will incur or has incurred an increased (as compared with circumstances existing on the Trade Date) amount of tax, duty, expense or fee to (1) acquire, establish, re-establish, substitute, maintain, unwind or dispose of any transaction(s) or asset(s) constituting a commercially reasonable hedge position in respect of the economic risk of entering into and performing its obligations with respect to the Transaction or (2) realize, recover or remit the proceeds of any transaction(s) or asset(s) constituting a commercially reasonable hedge position in respect of the economic risk of entering into and performing its obligations with respect to the Transaction or (B) Dealer determines, in its good faith and commercially reasonable judgment, that it will not be in compliance with applicable legal, regulatory or self-regulatory requirements, or with related policies and procedures, applicable to Dealer; </w:t>
            </w:r>
            <w:r>
              <w:rPr>
                <w:i/>
              </w:rPr>
              <w:t xml:space="preserve">provided further </w:t>
            </w:r>
            <w:r>
              <w:rPr/>
              <w:t>that, for the avoidance of doubt, adjustments shall be made pursuant to the provisions set forth above regardless of whether any Merger Event or Tender Offer gives rise to an Early Exchange.</w:t>
            </w:r>
          </w:p>
        </w:tc>
      </w:tr>
      <w:tr>
        <w:trPr>
          <w:trHeight w:val="120" w:hRule="atLeast"/>
        </w:trPr>
        <w:tc>
          <w:tcPr>
            <w:tcW w:w="2416" w:type="dxa"/>
            <w:tcBorders/>
            <w:vAlign w:val="center"/>
          </w:tcPr>
          <w:p>
            <w:pPr>
              <w:pStyle w:val="TableContents"/>
              <w:bidi w:val="0"/>
              <w:spacing w:before="0" w:after="283"/>
              <w:jc w:val="left"/>
              <w:rPr>
                <w:sz w:val="4"/>
                <w:szCs w:val="4"/>
              </w:rPr>
            </w:pPr>
            <w:r>
              <w:rPr>
                <w:sz w:val="4"/>
                <w:szCs w:val="4"/>
              </w:rPr>
            </w:r>
          </w:p>
        </w:tc>
        <w:tc>
          <w:tcPr>
            <w:tcW w:w="7789" w:type="dxa"/>
            <w:gridSpan w:val="2"/>
            <w:tcBorders/>
            <w:vAlign w:val="center"/>
          </w:tcPr>
          <w:p>
            <w:pPr>
              <w:pStyle w:val="TableContents"/>
              <w:bidi w:val="0"/>
              <w:spacing w:before="0" w:after="283"/>
              <w:jc w:val="left"/>
              <w:rPr>
                <w:sz w:val="4"/>
                <w:szCs w:val="4"/>
              </w:rPr>
            </w:pPr>
            <w:r>
              <w:rPr>
                <w:sz w:val="4"/>
                <w:szCs w:val="4"/>
              </w:rPr>
            </w:r>
          </w:p>
        </w:tc>
      </w:tr>
      <w:tr>
        <w:trPr/>
        <w:tc>
          <w:tcPr>
            <w:tcW w:w="2416" w:type="dxa"/>
            <w:tcBorders/>
          </w:tcPr>
          <w:p>
            <w:pPr>
              <w:pStyle w:val="TableContents"/>
              <w:bidi w:val="0"/>
              <w:spacing w:before="0" w:after="283"/>
              <w:jc w:val="left"/>
              <w:rPr/>
            </w:pPr>
            <w:r>
              <w:rPr/>
              <w:t>Consequences of Announcement Events:</w:t>
            </w:r>
          </w:p>
        </w:tc>
        <w:tc>
          <w:tcPr>
            <w:tcW w:w="121"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 xml:space="preserve">Modified Calculation Agent Adjustment as set forth in Section 12.3(d) of the Equity Definitions; </w:t>
            </w:r>
            <w:r>
              <w:rPr>
                <w:i/>
              </w:rPr>
              <w:t xml:space="preserve">provided </w:t>
            </w:r>
            <w:r>
              <w:rPr/>
              <w:t>that, in respect of an Announcement Event (w) references in such Section 12.3(d) to “Tender Offer” shall be replaced by references to “Announcement Event” and references in such Section 12.3(d) to “Tender Offer Date” shall be replaced by references to “date of such Announcement Event”, (x) the phrase “exercise, settlement, payment or any other terms of the Transaction (including, without limitation, the spread)” in such Section 12.3(d) shall be replaced with the phrase “Cap Price (</w:t>
            </w:r>
            <w:r>
              <w:rPr>
                <w:i/>
              </w:rPr>
              <w:t xml:space="preserve">provided </w:t>
            </w:r>
            <w:r>
              <w:rPr/>
              <w:t>that in no event shall the Cap Price be less than the Strike Price)”, (y) the words “whether within a commercially reasonable (as determined by the Calculation Agent) period of time prior to or after the Announcement Event,” shall be inserted prior to the word “which” in the seventh line of such Section 12.3(d), and (z) for the avoidance of doubt, the Calculation Agent shall determine whether the relevant Announcement Event has had a material economic effect on the Transaction (and, if so, shall, acting in good faith and in a commercially reasonable manner, adjust the Cap Price accordingly) on one or more occasions on or after the date of the Announcement Event up to, and including, the Expiration Date, any Early Termination Date and/or any other date of cancellation and the Calculation Agent shall make an adjustment to the Cap Price upon any announcement regarding the abandonment of any such transaction that was previously the subject of an adjustment pursuant to this provision to the extent necessary to reflect the economic effect of such subsequent announcement on the Transaction, it being understood that (1) any adjustment in respect of an Announcement Event shall take into account any earlier adjustment relating to the same Announcement Event and (2) such adjustment shall be made without duplication of any other adjustment or cancellation valuation made pursuant to this Confirmation, the Equity Definitions or the Agreement. An Announcement Event shall be an “Extraordinary Event” for purposes of the Equity Definitions, to which Article 12 of the Equity Definitions, as modified in this paragraph, is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11"/>
        <w:gridCol w:w="120"/>
        <w:gridCol w:w="7674"/>
      </w:tblGrid>
      <w:tr>
        <w:trPr/>
        <w:tc>
          <w:tcPr>
            <w:tcW w:w="24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7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11" w:type="dxa"/>
            <w:tcBorders/>
            <w:vAlign w:val="center"/>
          </w:tcPr>
          <w:p>
            <w:pPr>
              <w:pStyle w:val="TableContents"/>
              <w:bidi w:val="0"/>
              <w:spacing w:before="0" w:after="283"/>
              <w:jc w:val="left"/>
              <w:rPr>
                <w:sz w:val="4"/>
                <w:szCs w:val="4"/>
              </w:rPr>
            </w:pPr>
            <w:r>
              <w:rPr>
                <w:sz w:val="4"/>
                <w:szCs w:val="4"/>
              </w:rPr>
            </w:r>
          </w:p>
        </w:tc>
        <w:tc>
          <w:tcPr>
            <w:tcW w:w="7794" w:type="dxa"/>
            <w:gridSpan w:val="2"/>
            <w:tcBorders/>
            <w:vAlign w:val="center"/>
          </w:tcPr>
          <w:p>
            <w:pPr>
              <w:pStyle w:val="TableContents"/>
              <w:bidi w:val="0"/>
              <w:spacing w:before="0" w:after="283"/>
              <w:jc w:val="left"/>
              <w:rPr>
                <w:sz w:val="4"/>
                <w:szCs w:val="4"/>
              </w:rPr>
            </w:pPr>
            <w:r>
              <w:rPr>
                <w:sz w:val="4"/>
                <w:szCs w:val="4"/>
              </w:rPr>
            </w:r>
          </w:p>
        </w:tc>
      </w:tr>
      <w:tr>
        <w:trPr/>
        <w:tc>
          <w:tcPr>
            <w:tcW w:w="2411" w:type="dxa"/>
            <w:tcBorders/>
          </w:tcPr>
          <w:p>
            <w:pPr>
              <w:pStyle w:val="TableContents"/>
              <w:bidi w:val="0"/>
              <w:spacing w:before="0" w:after="283"/>
              <w:jc w:val="left"/>
              <w:rPr/>
            </w:pPr>
            <w:r>
              <w:rPr/>
              <w:t>Announcement Event:</w:t>
            </w:r>
          </w:p>
        </w:tc>
        <w:tc>
          <w:tcPr>
            <w:tcW w:w="120" w:type="dxa"/>
            <w:tcBorders/>
            <w:vAlign w:val="bottom"/>
          </w:tcPr>
          <w:p>
            <w:pPr>
              <w:pStyle w:val="TableContents"/>
              <w:bidi w:val="0"/>
              <w:spacing w:before="0" w:after="283"/>
              <w:jc w:val="left"/>
              <w:rPr/>
            </w:pPr>
            <w:r>
              <w:rPr/>
              <w:t>  </w:t>
            </w:r>
          </w:p>
        </w:tc>
        <w:tc>
          <w:tcPr>
            <w:tcW w:w="7674" w:type="dxa"/>
            <w:tcBorders/>
          </w:tcPr>
          <w:p>
            <w:pPr>
              <w:pStyle w:val="TableContents"/>
              <w:bidi w:val="0"/>
              <w:spacing w:before="0" w:after="283"/>
              <w:jc w:val="left"/>
              <w:rPr/>
            </w:pPr>
            <w:r>
              <w:rPr/>
              <w:t>(i) The public announcement by the Issuer, any affiliate or agent of the Issuer or any Valid Third Party Entity of (x) any transaction or event that is reasonably likely to be completed (as determined by the Calculation Agent taking into account the effect of such announcement on the market for the Shares and/or options on the Shares) and, if completed, would constitute a Merger Event or Tender Offer, (y) any potential acquisition or disposition by Issuer and/or its subsidiaries where the aggregate consideration exceeds 35% of the market capitalization of Issuer as of the date of such announcement (a “</w:t>
            </w:r>
            <w:r>
              <w:rPr>
                <w:b/>
              </w:rPr>
              <w:t>Transformative Transaction</w:t>
            </w:r>
            <w:r>
              <w:rPr/>
              <w:t>”) or (z) the intention to enter into a Merger Event or Tender Offer or a Transformative Transaction, (ii) the public announcement by Issuer of an intention to solicit or enter into, or to explore strategic alternatives or other similar undertaking that may include, a Merger Event or Tender Offer or a Transformative Transaction or (iii) any subsequent public announcement by the Issuer, any affiliate or agent of the Issuer or any Valid Third Party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except that all references to “voting shares” in Sections 12.1(d), 12.1(e) and 12.1(l) of the Equity Definitions shall be deemed to be references to “Shares” and provided that Section 12.1(d) of the Equity Definitions is hereby amended by replacing “10%” with “25%” in the third line thereof.</w:t>
            </w:r>
          </w:p>
        </w:tc>
      </w:tr>
      <w:tr>
        <w:trPr>
          <w:trHeight w:val="120" w:hRule="atLeast"/>
        </w:trPr>
        <w:tc>
          <w:tcPr>
            <w:tcW w:w="2411" w:type="dxa"/>
            <w:tcBorders/>
            <w:vAlign w:val="center"/>
          </w:tcPr>
          <w:p>
            <w:pPr>
              <w:pStyle w:val="TableContents"/>
              <w:bidi w:val="0"/>
              <w:spacing w:before="0" w:after="283"/>
              <w:jc w:val="left"/>
              <w:rPr>
                <w:sz w:val="4"/>
                <w:szCs w:val="4"/>
              </w:rPr>
            </w:pPr>
            <w:r>
              <w:rPr>
                <w:sz w:val="4"/>
                <w:szCs w:val="4"/>
              </w:rPr>
            </w:r>
          </w:p>
        </w:tc>
        <w:tc>
          <w:tcPr>
            <w:tcW w:w="7794" w:type="dxa"/>
            <w:gridSpan w:val="2"/>
            <w:tcBorders/>
            <w:vAlign w:val="center"/>
          </w:tcPr>
          <w:p>
            <w:pPr>
              <w:pStyle w:val="TableContents"/>
              <w:bidi w:val="0"/>
              <w:spacing w:before="0" w:after="283"/>
              <w:jc w:val="left"/>
              <w:rPr>
                <w:sz w:val="4"/>
                <w:szCs w:val="4"/>
              </w:rPr>
            </w:pPr>
            <w:r>
              <w:rPr>
                <w:sz w:val="4"/>
                <w:szCs w:val="4"/>
              </w:rPr>
            </w:r>
          </w:p>
        </w:tc>
      </w:tr>
      <w:tr>
        <w:trPr/>
        <w:tc>
          <w:tcPr>
            <w:tcW w:w="2411" w:type="dxa"/>
            <w:tcBorders/>
          </w:tcPr>
          <w:p>
            <w:pPr>
              <w:pStyle w:val="TableContents"/>
              <w:bidi w:val="0"/>
              <w:spacing w:before="0" w:after="283"/>
              <w:jc w:val="left"/>
              <w:rPr/>
            </w:pPr>
            <w:r>
              <w:rPr/>
              <w:t>Valid Third Party Entity:</w:t>
            </w:r>
          </w:p>
        </w:tc>
        <w:tc>
          <w:tcPr>
            <w:tcW w:w="120" w:type="dxa"/>
            <w:tcBorders/>
            <w:vAlign w:val="bottom"/>
          </w:tcPr>
          <w:p>
            <w:pPr>
              <w:pStyle w:val="TableContents"/>
              <w:bidi w:val="0"/>
              <w:spacing w:before="0" w:after="283"/>
              <w:jc w:val="left"/>
              <w:rPr/>
            </w:pPr>
            <w:r>
              <w:rPr/>
              <w:t>  </w:t>
            </w:r>
          </w:p>
        </w:tc>
        <w:tc>
          <w:tcPr>
            <w:tcW w:w="7674" w:type="dxa"/>
            <w:tcBorders/>
          </w:tcPr>
          <w:p>
            <w:pPr>
              <w:pStyle w:val="TableContents"/>
              <w:bidi w:val="0"/>
              <w:spacing w:before="0" w:after="283"/>
              <w:jc w:val="left"/>
              <w:rPr/>
            </w:pPr>
            <w:r>
              <w:rPr/>
              <w:t>In respect of any transaction, any third party that has a bona fide intent to enter into and consummate such transaction (it being understood and agreed that in determining whether such third party has such a bona fide intent, the Calculation Agent shall take into consideration the effect of the relevant announcement by such third party on the Shares and/or options relating to the Shares).</w:t>
            </w:r>
          </w:p>
        </w:tc>
      </w:tr>
      <w:tr>
        <w:trPr>
          <w:trHeight w:val="120" w:hRule="atLeast"/>
        </w:trPr>
        <w:tc>
          <w:tcPr>
            <w:tcW w:w="2411" w:type="dxa"/>
            <w:tcBorders/>
            <w:vAlign w:val="center"/>
          </w:tcPr>
          <w:p>
            <w:pPr>
              <w:pStyle w:val="TableContents"/>
              <w:bidi w:val="0"/>
              <w:spacing w:before="0" w:after="283"/>
              <w:jc w:val="left"/>
              <w:rPr>
                <w:sz w:val="4"/>
                <w:szCs w:val="4"/>
              </w:rPr>
            </w:pPr>
            <w:r>
              <w:rPr>
                <w:sz w:val="4"/>
                <w:szCs w:val="4"/>
              </w:rPr>
            </w:r>
          </w:p>
        </w:tc>
        <w:tc>
          <w:tcPr>
            <w:tcW w:w="7794" w:type="dxa"/>
            <w:gridSpan w:val="2"/>
            <w:tcBorders/>
            <w:vAlign w:val="center"/>
          </w:tcPr>
          <w:p>
            <w:pPr>
              <w:pStyle w:val="TableContents"/>
              <w:bidi w:val="0"/>
              <w:spacing w:before="0" w:after="283"/>
              <w:jc w:val="left"/>
              <w:rPr>
                <w:sz w:val="4"/>
                <w:szCs w:val="4"/>
              </w:rPr>
            </w:pPr>
            <w:r>
              <w:rPr>
                <w:sz w:val="4"/>
                <w:szCs w:val="4"/>
              </w:rPr>
            </w:r>
          </w:p>
        </w:tc>
      </w:tr>
      <w:tr>
        <w:trPr/>
        <w:tc>
          <w:tcPr>
            <w:tcW w:w="2411" w:type="dxa"/>
            <w:tcBorders/>
          </w:tcPr>
          <w:p>
            <w:pPr>
              <w:pStyle w:val="TableContents"/>
              <w:bidi w:val="0"/>
              <w:spacing w:before="0" w:after="283"/>
              <w:jc w:val="left"/>
              <w:rPr/>
            </w:pPr>
            <w:r>
              <w:rPr/>
              <w:t>Nationalization, Insolvency or Delisting:</w:t>
            </w:r>
          </w:p>
        </w:tc>
        <w:tc>
          <w:tcPr>
            <w:tcW w:w="120" w:type="dxa"/>
            <w:tcBorders/>
            <w:vAlign w:val="bottom"/>
          </w:tcPr>
          <w:p>
            <w:pPr>
              <w:pStyle w:val="TableContents"/>
              <w:bidi w:val="0"/>
              <w:spacing w:before="0" w:after="283"/>
              <w:jc w:val="left"/>
              <w:rPr/>
            </w:pPr>
            <w:r>
              <w:rPr/>
              <w:t>  </w:t>
            </w:r>
          </w:p>
        </w:tc>
        <w:tc>
          <w:tcPr>
            <w:tcW w:w="7674" w:type="dxa"/>
            <w:tcBorders/>
          </w:tcPr>
          <w:p>
            <w:pPr>
              <w:pStyle w:val="TableContents"/>
              <w:bidi w:val="0"/>
              <w:spacing w:before="0" w:after="283"/>
              <w:jc w:val="left"/>
              <w:rPr/>
            </w:pPr>
            <w:r>
              <w:rPr/>
              <w:t xml:space="preserve">Cancellation and Payment (Calculation Agent Determination); </w:t>
            </w:r>
            <w:r>
              <w:rPr>
                <w:i/>
              </w:rPr>
              <w:t xml:space="preserve">provided </w:t>
            </w:r>
            <w:r>
              <w:rPr/>
              <w:t>that, in addition to the provisions of Section 12.6(a)(iii) of the Equity Definitions, it will also constitute a Delisting if the Exchange is located in the United States and the Shares are not immediately re- 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63"/>
        <w:gridCol w:w="120"/>
        <w:gridCol w:w="7722"/>
      </w:tblGrid>
      <w:tr>
        <w:trPr/>
        <w:tc>
          <w:tcPr>
            <w:tcW w:w="23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2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i/>
                <w:u w:val="single"/>
              </w:rPr>
            </w:pPr>
            <w:r>
              <w:rPr>
                <w:i/>
                <w:u w:val="single"/>
              </w:rPr>
              <w:t>Additional Disruption Events:</w:t>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sz w:val="4"/>
                <w:szCs w:val="4"/>
              </w:rPr>
            </w:pPr>
            <w:r>
              <w:rPr>
                <w:sz w:val="4"/>
                <w:szCs w:val="4"/>
              </w:rPr>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pPr>
            <w:r>
              <w:rPr/>
              <w:t>Change in Law:</w:t>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 xml:space="preserve">Applicable; </w:t>
            </w:r>
            <w:r>
              <w:rPr>
                <w:i/>
              </w:rPr>
              <w:t xml:space="preserve">provided </w:t>
            </w:r>
            <w:r>
              <w:rPr/>
              <w:t>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 and (iv) adding the words “</w:t>
            </w:r>
            <w:r>
              <w:rPr>
                <w:i/>
              </w:rPr>
              <w:t xml:space="preserve">provided </w:t>
            </w:r>
            <w:r>
              <w:rPr/>
              <w:t>that in the case of clause (Y) hereof, the consequence of such law, regulation or interpretation is applied consistently by Dealer to all similar transactions in a non- discriminatory manner;” after the semi-colon in the last line thereof. Notwithstanding anything to the contrary herein or in the Equity Definitions, upon the occurrence of the “Change in Law” as set forth in clause (Y) of Section 12.9(a)(ii) of the Equity Definitions, the provisions applicable to an “Increased Cost of Hedging” as set forth in Section 12.9(b)(vi) of the Equity Definitions shall apply to such “Change in Law” (in lieu of the provisions set forth in Section 12.9(b)(i)).</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pPr>
            <w:r>
              <w:rPr/>
              <w:t>Failure to Deliver:</w:t>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Applicable</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pPr>
            <w:r>
              <w:rPr/>
              <w:t>Hedging Disruption:</w:t>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 xml:space="preserve">Applicable; </w:t>
            </w:r>
            <w:r>
              <w:rPr>
                <w:i/>
              </w:rPr>
              <w:t xml:space="preserve">provided </w:t>
            </w:r>
            <w:r>
              <w:rPr/>
              <w:t>that:</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(i) Section 12.9(a)(v) of the Equity Definitions is hereby amended by (a) inserting the following words at the end of clause (A) thereof: “in the manner contemplated by the Hedging Party on the Trade Date” and (b) inserting the following two phrases at the end of such Section:</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w:t>
            </w:r>
            <w:r>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(ii) Section 12.9(b)(iii) of the Equity Definitions is hereby amended by inserting in the third line thereof, after the words “to terminate the Transaction”, the words “or the portion of the Transaction affected by such Hedging Disruption”;</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and</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(iii) it shall not be a Hedging Disruption if such inability occurs solely due to the deterioration of the creditworthiness of the Hedging Party.</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pPr>
            <w:r>
              <w:rPr/>
              <w:t>Increased Cost of Hedging:</w:t>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Applicable solely with respect to a “Change in Law” described in clause (Y) of Section 12.9(a)(ii) of the Equity Definitions as set forth in the last sentence opposite the caption “Change in Law” above.</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pPr>
            <w:r>
              <w:rPr/>
              <w:t>Hedging Party:</w:t>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For all applicable Additional Disruption Events, Dealer.</w:t>
            </w:r>
          </w:p>
        </w:tc>
      </w:tr>
      <w:tr>
        <w:trPr>
          <w:trHeight w:val="120" w:hRule="atLeast"/>
        </w:trPr>
        <w:tc>
          <w:tcPr>
            <w:tcW w:w="2363" w:type="dxa"/>
            <w:tcBorders/>
            <w:vAlign w:val="center"/>
          </w:tcPr>
          <w:p>
            <w:pPr>
              <w:pStyle w:val="TableContents"/>
              <w:bidi w:val="0"/>
              <w:spacing w:before="0" w:after="283"/>
              <w:jc w:val="left"/>
              <w:rPr>
                <w:sz w:val="4"/>
                <w:szCs w:val="4"/>
              </w:rPr>
            </w:pPr>
            <w:r>
              <w:rPr>
                <w:sz w:val="4"/>
                <w:szCs w:val="4"/>
              </w:rPr>
            </w:r>
          </w:p>
        </w:tc>
        <w:tc>
          <w:tcPr>
            <w:tcW w:w="7842" w:type="dxa"/>
            <w:gridSpan w:val="2"/>
            <w:tcBorders/>
            <w:vAlign w:val="center"/>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283"/>
              <w:jc w:val="left"/>
              <w:rPr/>
            </w:pPr>
            <w:r>
              <w:rPr/>
              <w:t>Determining Party:</w:t>
            </w:r>
          </w:p>
        </w:tc>
        <w:tc>
          <w:tcPr>
            <w:tcW w:w="120" w:type="dxa"/>
            <w:tcBorders/>
            <w:vAlign w:val="bottom"/>
          </w:tcPr>
          <w:p>
            <w:pPr>
              <w:pStyle w:val="TableContents"/>
              <w:bidi w:val="0"/>
              <w:spacing w:before="0" w:after="283"/>
              <w:jc w:val="left"/>
              <w:rPr/>
            </w:pPr>
            <w:r>
              <w:rPr/>
              <w:t>  </w:t>
            </w:r>
          </w:p>
        </w:tc>
        <w:tc>
          <w:tcPr>
            <w:tcW w:w="7722" w:type="dxa"/>
            <w:tcBorders/>
          </w:tcPr>
          <w:p>
            <w:pPr>
              <w:pStyle w:val="TableContents"/>
              <w:bidi w:val="0"/>
              <w:spacing w:before="0" w:after="283"/>
              <w:jc w:val="left"/>
              <w:rPr/>
            </w:pPr>
            <w:r>
              <w:rPr/>
              <w:t xml:space="preserve">For all applicable Extraordinary Events, Dealer; </w:t>
            </w:r>
            <w:r>
              <w:rPr>
                <w:i/>
              </w:rPr>
              <w:t>provided</w:t>
            </w:r>
            <w:r>
              <w:rPr/>
              <w:t xml:space="preserve"> that when making any determination or adjustment as “Determining Party,” Dealer shall be bound by the same obligations relating to required acts of the Calculation Agent as set forth in Section 1.40 of the Equity Definitions and this Confirmation as if Determining Party were the Calculation Agent. Following any determination or adjustment by the Determining Party hereunder, following a written request by Counterparty (which, for the avoidance of doubt, may be by email) therefor, the Determining Party shall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73"/>
        <w:gridCol w:w="120"/>
        <w:gridCol w:w="7612"/>
      </w:tblGrid>
      <w:tr>
        <w:trPr/>
        <w:tc>
          <w:tcPr>
            <w:tcW w:w="24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1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73" w:type="dxa"/>
            <w:tcBorders/>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12" w:type="dxa"/>
            <w:tcBorders/>
          </w:tcPr>
          <w:p>
            <w:pPr>
              <w:pStyle w:val="TableContents"/>
              <w:bidi w:val="0"/>
              <w:spacing w:before="0" w:after="283"/>
              <w:jc w:val="left"/>
              <w:rPr/>
            </w:pPr>
            <w:r>
              <w:rPr/>
              <w:t>provide to Counterparty by e-mail to the e-mail address provided by Counterparty a written explanation and report (in a commonly used file format for the storage and manipulation of financial data) describing in reasonable detail any determination or adjustment made by it (including, as applicable, any quotations, market data, information from internal sources used in making such determinations, descriptions of the methodology and any assumptions and basis used in making for such determination or adjustment), it being understood that the Determining Party shall not be obligated to disclose any proprietary or confidential models or proprietary or confidential information used by it for such determination or adjustment. The Determining Party shall use commercially reasonable efforts to provide such written explanation and report within five (5) Exchange Business Days from the receipt of such request. All determinations or adjustments by Dealer acting in its capacity as the Hedging Party or Determining Party shall be made in good faith and in a commercially reasonable manner and assuming that Dealer maintains a commercially reasonable hedge position.</w:t>
            </w:r>
          </w:p>
        </w:tc>
      </w:tr>
      <w:tr>
        <w:trPr>
          <w:trHeight w:val="120" w:hRule="atLeast"/>
        </w:trPr>
        <w:tc>
          <w:tcPr>
            <w:tcW w:w="2473" w:type="dxa"/>
            <w:tcBorders/>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tcPr>
          <w:p>
            <w:pPr>
              <w:pStyle w:val="TableContents"/>
              <w:bidi w:val="0"/>
              <w:spacing w:before="0" w:after="283"/>
              <w:jc w:val="left"/>
              <w:rPr>
                <w:i/>
                <w:u w:val="single"/>
              </w:rPr>
            </w:pPr>
            <w:r>
              <w:rPr>
                <w:i/>
                <w:u w:val="single"/>
              </w:rPr>
              <w:t>Agreements and Acknowledgments</w:t>
            </w:r>
          </w:p>
        </w:tc>
        <w:tc>
          <w:tcPr>
            <w:tcW w:w="120" w:type="dxa"/>
            <w:tcBorders/>
            <w:vAlign w:val="bottom"/>
          </w:tcPr>
          <w:p>
            <w:pPr>
              <w:pStyle w:val="TableContents"/>
              <w:bidi w:val="0"/>
              <w:spacing w:before="0" w:after="283"/>
              <w:jc w:val="left"/>
              <w:rPr/>
            </w:pPr>
            <w:r>
              <w:rPr/>
              <w:t>  </w:t>
            </w:r>
          </w:p>
        </w:tc>
        <w:tc>
          <w:tcPr>
            <w:tcW w:w="7612" w:type="dxa"/>
            <w:tcBorders/>
          </w:tcPr>
          <w:p>
            <w:pPr>
              <w:pStyle w:val="TableContents"/>
              <w:bidi w:val="0"/>
              <w:spacing w:before="0" w:after="283"/>
              <w:jc w:val="left"/>
              <w:rPr>
                <w:sz w:val="4"/>
                <w:szCs w:val="4"/>
              </w:rPr>
            </w:pPr>
            <w:r>
              <w:rPr>
                <w:sz w:val="4"/>
                <w:szCs w:val="4"/>
              </w:rPr>
            </w:r>
          </w:p>
        </w:tc>
      </w:tr>
      <w:tr>
        <w:trPr>
          <w:trHeight w:val="120" w:hRule="atLeast"/>
        </w:trPr>
        <w:tc>
          <w:tcPr>
            <w:tcW w:w="2473" w:type="dxa"/>
            <w:tcBorders/>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tcPr>
          <w:p>
            <w:pPr>
              <w:pStyle w:val="TableContents"/>
              <w:bidi w:val="0"/>
              <w:spacing w:before="0" w:after="283"/>
              <w:jc w:val="left"/>
              <w:rPr/>
            </w:pPr>
            <w:r>
              <w:rPr/>
              <w:t>Non-Reliance:</w:t>
            </w:r>
          </w:p>
        </w:tc>
        <w:tc>
          <w:tcPr>
            <w:tcW w:w="120" w:type="dxa"/>
            <w:tcBorders/>
            <w:vAlign w:val="bottom"/>
          </w:tcPr>
          <w:p>
            <w:pPr>
              <w:pStyle w:val="TableContents"/>
              <w:bidi w:val="0"/>
              <w:spacing w:before="0" w:after="283"/>
              <w:jc w:val="left"/>
              <w:rPr/>
            </w:pPr>
            <w:r>
              <w:rPr/>
              <w:t>  </w:t>
            </w:r>
          </w:p>
        </w:tc>
        <w:tc>
          <w:tcPr>
            <w:tcW w:w="7612" w:type="dxa"/>
            <w:tcBorders/>
          </w:tcPr>
          <w:p>
            <w:pPr>
              <w:pStyle w:val="TableContents"/>
              <w:bidi w:val="0"/>
              <w:spacing w:before="0" w:after="283"/>
              <w:jc w:val="left"/>
              <w:rPr/>
            </w:pPr>
            <w:r>
              <w:rPr/>
              <w:t>Applicable</w:t>
            </w:r>
          </w:p>
        </w:tc>
      </w:tr>
      <w:tr>
        <w:trPr>
          <w:trHeight w:val="120" w:hRule="atLeast"/>
        </w:trPr>
        <w:tc>
          <w:tcPr>
            <w:tcW w:w="2473" w:type="dxa"/>
            <w:tcBorders/>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tcPr>
          <w:p>
            <w:pPr>
              <w:pStyle w:val="TableContents"/>
              <w:bidi w:val="0"/>
              <w:spacing w:before="0" w:after="283"/>
              <w:jc w:val="left"/>
              <w:rPr/>
            </w:pPr>
            <w:r>
              <w:rPr/>
              <w:t>Regarding Hedging Activities:</w:t>
            </w:r>
          </w:p>
        </w:tc>
        <w:tc>
          <w:tcPr>
            <w:tcW w:w="120" w:type="dxa"/>
            <w:tcBorders/>
            <w:vAlign w:val="bottom"/>
          </w:tcPr>
          <w:p>
            <w:pPr>
              <w:pStyle w:val="TableContents"/>
              <w:bidi w:val="0"/>
              <w:spacing w:before="0" w:after="283"/>
              <w:jc w:val="left"/>
              <w:rPr/>
            </w:pPr>
            <w:r>
              <w:rPr/>
              <w:t>  </w:t>
            </w:r>
          </w:p>
        </w:tc>
        <w:tc>
          <w:tcPr>
            <w:tcW w:w="7612" w:type="dxa"/>
            <w:tcBorders/>
          </w:tcPr>
          <w:p>
            <w:pPr>
              <w:pStyle w:val="TableContents"/>
              <w:bidi w:val="0"/>
              <w:spacing w:before="0" w:after="283"/>
              <w:jc w:val="left"/>
              <w:rPr/>
            </w:pPr>
            <w:r>
              <w:rPr/>
              <w:t>Applicable</w:t>
            </w:r>
          </w:p>
        </w:tc>
      </w:tr>
      <w:tr>
        <w:trPr>
          <w:trHeight w:val="120" w:hRule="atLeast"/>
        </w:trPr>
        <w:tc>
          <w:tcPr>
            <w:tcW w:w="2473" w:type="dxa"/>
            <w:tcBorders/>
            <w:vAlign w:val="center"/>
          </w:tcPr>
          <w:p>
            <w:pPr>
              <w:pStyle w:val="TableContents"/>
              <w:bidi w:val="0"/>
              <w:spacing w:before="0" w:after="283"/>
              <w:jc w:val="left"/>
              <w:rPr>
                <w:sz w:val="4"/>
                <w:szCs w:val="4"/>
              </w:rPr>
            </w:pPr>
            <w:r>
              <w:rPr>
                <w:sz w:val="4"/>
                <w:szCs w:val="4"/>
              </w:rPr>
            </w:r>
          </w:p>
        </w:tc>
        <w:tc>
          <w:tcPr>
            <w:tcW w:w="7732" w:type="dxa"/>
            <w:gridSpan w:val="2"/>
            <w:tcBorders/>
            <w:vAlign w:val="center"/>
          </w:tcPr>
          <w:p>
            <w:pPr>
              <w:pStyle w:val="TableContents"/>
              <w:bidi w:val="0"/>
              <w:spacing w:before="0" w:after="283"/>
              <w:jc w:val="left"/>
              <w:rPr>
                <w:sz w:val="4"/>
                <w:szCs w:val="4"/>
              </w:rPr>
            </w:pPr>
            <w:r>
              <w:rPr>
                <w:sz w:val="4"/>
                <w:szCs w:val="4"/>
              </w:rPr>
            </w:r>
          </w:p>
        </w:tc>
      </w:tr>
      <w:tr>
        <w:trPr/>
        <w:tc>
          <w:tcPr>
            <w:tcW w:w="2473" w:type="dxa"/>
            <w:tcBorders/>
          </w:tcPr>
          <w:p>
            <w:pPr>
              <w:pStyle w:val="TableContents"/>
              <w:bidi w:val="0"/>
              <w:spacing w:before="0" w:after="283"/>
              <w:jc w:val="left"/>
              <w:rPr/>
            </w:pPr>
            <w:r>
              <w:rPr/>
              <w:t>Additional Acknowledgments:</w:t>
            </w:r>
          </w:p>
        </w:tc>
        <w:tc>
          <w:tcPr>
            <w:tcW w:w="120" w:type="dxa"/>
            <w:tcBorders/>
            <w:vAlign w:val="bottom"/>
          </w:tcPr>
          <w:p>
            <w:pPr>
              <w:pStyle w:val="TableContents"/>
              <w:bidi w:val="0"/>
              <w:spacing w:before="0" w:after="283"/>
              <w:jc w:val="left"/>
              <w:rPr/>
            </w:pPr>
            <w:r>
              <w:rPr/>
              <w:t>  </w:t>
            </w:r>
          </w:p>
        </w:tc>
        <w:tc>
          <w:tcPr>
            <w:tcW w:w="7612" w:type="dxa"/>
            <w:tcBorders/>
          </w:tcPr>
          <w:p>
            <w:pPr>
              <w:pStyle w:val="TableContents"/>
              <w:bidi w:val="0"/>
              <w:spacing w:before="0" w:after="283"/>
              <w:jc w:val="left"/>
              <w:rPr/>
            </w:pPr>
            <w:r>
              <w:rPr/>
              <w:t>Applicable</w:t>
            </w:r>
          </w:p>
        </w:tc>
      </w:tr>
    </w:tbl>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Calculation Agent</w:t>
      </w:r>
      <w:r>
        <w:rPr>
          <w:rFonts w:ascii="Times New Roman" w:hAnsi="Times New Roman"/>
          <w:b/>
          <w:sz w:val="20"/>
        </w:rPr>
        <w:t>.</w:t>
      </w:r>
      <w:r>
        <w:rPr>
          <w:rFonts w:ascii="Times New Roman" w:hAnsi="Times New Roman"/>
          <w:sz w:val="20"/>
        </w:rPr>
        <w:t xml:space="preserve"> Dealer. Regardless of whether or not a standard for the actions of the Calculation Agent is explicitly stated in any provision hereof, the standards of Section 1.40 of the Equity Definitions, as modified by adding the words, “acts or” immediately before the words, “is required to act” in line 2 thereof, shall apply to the Calculation Agent at all times and in respect of all circumstances hereunder. Following the occurrence and during the continuation of an Event of Default described in Section 5(a)(vii) of the Agreement with respect to which Dealer is the Defaulting Party, Counterparty shall have the right to designate an independent, nationally recognized equity derivatives dealer to replace Dealer as Calculation Agent, and the parties shall work in good faith to execute any appropriate documentation required by such replacement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All calculations, adjustments and determinations by the Calculation Agent shall be made in good faith and in a commercially reasonable manner, and by reference to the effect on Dealer assuming that Dealer maintains a commercially reasonable hedge position with respect to the Transaction. Following any adjustment, determination or calculation by the Calculation Agent hereunder, following a written request by Counterparty therefor (which, for the avoidance of doubt, may be made by email), the Calculation Agent shall provide to Counterparty by e-mail to the e-mail address provided by Counterparty in such request a written explanation and report (in a commonly used file format for the storage and manipulation of financial data) displaying in commercially reasonable detail the basis for such adjustment, determination or calculation (including any quotations, market data or information from internal or external sources, and any assumptions, used in making such adjustment, determination or calculation), it being understood that the Calculation Agent shall not be obligated to disclose any proprietary or confidential models or proprietary or confidential information used by it for such adjustment, determination or calculation. The Calculation Agent shall use commercially reasonable efforts to provide such written explanation and report within five (5) Exchange Business Days from the receipt of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5.</w:t>
      </w:r>
      <w:r>
        <w:rPr>
          <w:rFonts w:ascii="Times New Roman" w:hAnsi="Times New Roman"/>
          <w:sz w:val="20"/>
        </w:rPr>
        <w:t xml:space="preserve"> </w:t>
      </w:r>
      <w:r>
        <w:rPr>
          <w:rFonts w:ascii="Times New Roman" w:hAnsi="Times New Roman"/>
          <w:b/>
          <w:sz w:val="20"/>
          <w:u w:val="single"/>
        </w:rPr>
        <w:t>Account Details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Account for payments to Counterparty: </w:t>
      </w:r>
    </w:p>
    <w:p>
      <w:pPr>
        <w:pStyle w:val="TextBody"/>
        <w:bidi w:val="0"/>
        <w:spacing w:before="120" w:after="0"/>
        <w:jc w:val="left"/>
        <w:rPr>
          <w:rFonts w:ascii="Times New Roman" w:hAnsi="Times New Roman"/>
          <w:sz w:val="20"/>
        </w:rPr>
      </w:pPr>
      <w:r>
        <w:rPr>
          <w:rFonts w:ascii="Times New Roman" w:hAnsi="Times New Roman"/>
          <w:sz w:val="20"/>
        </w:rPr>
        <w:t xml:space="preserve">To be provided. </w:t>
      </w:r>
    </w:p>
    <w:p>
      <w:pPr>
        <w:pStyle w:val="TextBody"/>
        <w:bidi w:val="0"/>
        <w:spacing w:before="240" w:after="0"/>
        <w:jc w:val="left"/>
        <w:rPr>
          <w:rFonts w:ascii="Times New Roman" w:hAnsi="Times New Roman"/>
          <w:sz w:val="20"/>
        </w:rPr>
      </w:pPr>
      <w:r>
        <w:rPr>
          <w:rFonts w:ascii="Times New Roman" w:hAnsi="Times New Roman"/>
          <w:sz w:val="20"/>
        </w:rPr>
        <w:t xml:space="preserve">Account for delivery of Shares to Counterparty: </w:t>
      </w:r>
    </w:p>
    <w:p>
      <w:pPr>
        <w:pStyle w:val="TextBody"/>
        <w:bidi w:val="0"/>
        <w:spacing w:before="120" w:after="0"/>
        <w:jc w:val="left"/>
        <w:rPr>
          <w:rFonts w:ascii="Times New Roman" w:hAnsi="Times New Roman"/>
          <w:sz w:val="20"/>
        </w:rPr>
      </w:pPr>
      <w:r>
        <w:rPr>
          <w:rFonts w:ascii="Times New Roman" w:hAnsi="Times New Roman"/>
          <w:sz w:val="20"/>
        </w:rPr>
        <w:t xml:space="preserve">To be provided. </w:t>
      </w:r>
    </w:p>
    <w:p>
      <w:pPr>
        <w:pStyle w:val="TextBody"/>
        <w:bidi w:val="0"/>
        <w:spacing w:before="240" w:after="0"/>
        <w:jc w:val="left"/>
        <w:rPr>
          <w:rFonts w:ascii="Times New Roman" w:hAnsi="Times New Roman"/>
          <w:sz w:val="20"/>
        </w:rPr>
      </w:pPr>
      <w:r>
        <w:rPr>
          <w:rFonts w:ascii="Times New Roman" w:hAnsi="Times New Roman"/>
          <w:sz w:val="20"/>
        </w:rPr>
        <w:t xml:space="preserve">(b) Account for payments to Dealer: </w:t>
      </w:r>
    </w:p>
    <w:p>
      <w:pPr>
        <w:pStyle w:val="TextBody"/>
        <w:bidi w:val="0"/>
        <w:spacing w:before="120" w:after="0"/>
        <w:jc w:val="left"/>
        <w:rPr>
          <w:rFonts w:ascii="Times New Roman" w:hAnsi="Times New Roman"/>
          <w:sz w:val="20"/>
        </w:rPr>
      </w:pPr>
      <w:r>
        <w:rPr>
          <w:rFonts w:ascii="Times New Roman" w:hAnsi="Times New Roman"/>
          <w:sz w:val="20"/>
        </w:rPr>
        <w:t xml:space="preserve">[Bank:] [_________] </w:t>
      </w:r>
    </w:p>
    <w:p>
      <w:pPr>
        <w:pStyle w:val="TextBody"/>
        <w:bidi w:val="0"/>
        <w:spacing w:before="0" w:after="0"/>
        <w:jc w:val="left"/>
        <w:rPr>
          <w:rFonts w:ascii="Times New Roman" w:hAnsi="Times New Roman"/>
          <w:sz w:val="20"/>
        </w:rPr>
      </w:pPr>
      <w:r>
        <w:rPr>
          <w:rFonts w:ascii="Times New Roman" w:hAnsi="Times New Roman"/>
          <w:sz w:val="20"/>
        </w:rPr>
        <w:t xml:space="preserve">[SWIFT:] [_________] </w:t>
      </w:r>
    </w:p>
    <w:p>
      <w:pPr>
        <w:pStyle w:val="TextBody"/>
        <w:bidi w:val="0"/>
        <w:spacing w:before="0" w:after="0"/>
        <w:jc w:val="left"/>
        <w:rPr>
          <w:rFonts w:ascii="Times New Roman" w:hAnsi="Times New Roman"/>
          <w:sz w:val="20"/>
        </w:rPr>
      </w:pPr>
      <w:r>
        <w:rPr>
          <w:rFonts w:ascii="Times New Roman" w:hAnsi="Times New Roman"/>
          <w:sz w:val="20"/>
        </w:rPr>
        <w:t xml:space="preserve">[Bank Routing:] [_________] </w:t>
      </w:r>
    </w:p>
    <w:p>
      <w:pPr>
        <w:pStyle w:val="TextBody"/>
        <w:bidi w:val="0"/>
        <w:spacing w:before="0" w:after="0"/>
        <w:jc w:val="left"/>
        <w:rPr>
          <w:rFonts w:ascii="Times New Roman" w:hAnsi="Times New Roman"/>
          <w:sz w:val="20"/>
        </w:rPr>
      </w:pPr>
      <w:r>
        <w:rPr>
          <w:rFonts w:ascii="Times New Roman" w:hAnsi="Times New Roman"/>
          <w:sz w:val="20"/>
        </w:rPr>
        <w:t xml:space="preserve">[Acct Name:] [_________] </w:t>
      </w:r>
    </w:p>
    <w:p>
      <w:pPr>
        <w:pStyle w:val="TextBody"/>
        <w:bidi w:val="0"/>
        <w:spacing w:before="0" w:after="0"/>
        <w:jc w:val="left"/>
        <w:rPr>
          <w:rFonts w:ascii="Times New Roman" w:hAnsi="Times New Roman"/>
          <w:sz w:val="20"/>
        </w:rPr>
      </w:pPr>
      <w:r>
        <w:rPr>
          <w:rFonts w:ascii="Times New Roman" w:hAnsi="Times New Roman"/>
          <w:sz w:val="20"/>
        </w:rPr>
        <w:t xml:space="preserve">[Acct No.:] [_________]38 </w:t>
      </w:r>
    </w:p>
    <w:p>
      <w:pPr>
        <w:pStyle w:val="TextBody"/>
        <w:bidi w:val="0"/>
        <w:spacing w:before="240" w:after="0"/>
        <w:jc w:val="left"/>
        <w:rPr>
          <w:rFonts w:ascii="Times New Roman" w:hAnsi="Times New Roman"/>
          <w:sz w:val="20"/>
        </w:rPr>
      </w:pPr>
      <w:r>
        <w:rPr>
          <w:rFonts w:ascii="Times New Roman" w:hAnsi="Times New Roman"/>
          <w:sz w:val="20"/>
        </w:rPr>
        <w:t xml:space="preserve">Account for delivery of Shares from Dealer: </w:t>
      </w:r>
    </w:p>
    <w:p>
      <w:pPr>
        <w:pStyle w:val="TextBody"/>
        <w:bidi w:val="0"/>
        <w:spacing w:before="240" w:after="0"/>
        <w:jc w:val="left"/>
        <w:rPr>
          <w:rFonts w:ascii="Times New Roman" w:hAnsi="Times New Roman"/>
          <w:sz w:val="20"/>
        </w:rPr>
      </w:pPr>
      <w:r>
        <w:rPr>
          <w:rFonts w:ascii="Times New Roman" w:hAnsi="Times New Roman"/>
          <w:sz w:val="20"/>
        </w:rPr>
        <w:t xml:space="preserve">To be provided.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Offices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Office of Counterparty for the Transaction is: Inapplicable, Counterparty is not a Multibranch Party. </w:t>
      </w:r>
    </w:p>
    <w:p>
      <w:pPr>
        <w:pStyle w:val="TextBody"/>
        <w:bidi w:val="0"/>
        <w:spacing w:before="240" w:after="0"/>
        <w:jc w:val="left"/>
        <w:rPr>
          <w:rFonts w:ascii="Times New Roman" w:hAnsi="Times New Roman"/>
          <w:sz w:val="20"/>
        </w:rPr>
      </w:pPr>
      <w:r>
        <w:rPr>
          <w:rFonts w:ascii="Times New Roman" w:hAnsi="Times New Roman"/>
          <w:sz w:val="20"/>
        </w:rPr>
        <w:t xml:space="preserve">(b) The Office of Dealer for the Transaction is: [____________][Inapplicable; Dealer is not a Multibranch Party]39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Notices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Address for notices or communications to Counterparty and to Parent: </w:t>
      </w:r>
    </w:p>
    <w:p>
      <w:pPr>
        <w:pStyle w:val="TextBody"/>
        <w:bidi w:val="0"/>
        <w:spacing w:before="240" w:after="0"/>
        <w:jc w:val="left"/>
        <w:rPr>
          <w:rFonts w:ascii="Times New Roman" w:hAnsi="Times New Roman"/>
          <w:sz w:val="20"/>
        </w:rPr>
      </w:pPr>
      <w:r>
        <w:rPr>
          <w:rFonts w:ascii="Times New Roman" w:hAnsi="Times New Roman"/>
          <w:sz w:val="20"/>
        </w:rPr>
        <w:t xml:space="preserve">To: The Macerich Partnership, L.P. </w:t>
      </w:r>
    </w:p>
    <w:p>
      <w:pPr>
        <w:pStyle w:val="TextBody"/>
        <w:bidi w:val="0"/>
        <w:spacing w:before="0" w:after="0"/>
        <w:jc w:val="left"/>
        <w:rPr>
          <w:rFonts w:ascii="Times New Roman" w:hAnsi="Times New Roman"/>
          <w:sz w:val="20"/>
        </w:rPr>
      </w:pPr>
      <w:r>
        <w:rPr>
          <w:rFonts w:ascii="Times New Roman" w:hAnsi="Times New Roman"/>
          <w:sz w:val="20"/>
        </w:rPr>
        <w:t xml:space="preserve">c/o 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 90401 </w:t>
      </w:r>
    </w:p>
    <w:p>
      <w:pPr>
        <w:pStyle w:val="TextBody"/>
        <w:bidi w:val="0"/>
        <w:spacing w:before="0" w:after="0"/>
        <w:jc w:val="left"/>
        <w:rPr>
          <w:rFonts w:ascii="Times New Roman" w:hAnsi="Times New Roman"/>
          <w:sz w:val="20"/>
        </w:rPr>
      </w:pPr>
      <w:r>
        <w:rPr>
          <w:rFonts w:ascii="Times New Roman" w:hAnsi="Times New Roman"/>
          <w:sz w:val="20"/>
        </w:rPr>
        <w:t xml:space="preserve">Attention: [________] </w:t>
      </w:r>
    </w:p>
    <w:p>
      <w:pPr>
        <w:pStyle w:val="TextBody"/>
        <w:bidi w:val="0"/>
        <w:spacing w:before="0" w:after="0"/>
        <w:jc w:val="left"/>
        <w:rPr>
          <w:rFonts w:ascii="Times New Roman" w:hAnsi="Times New Roman"/>
          <w:sz w:val="20"/>
        </w:rPr>
      </w:pPr>
      <w:r>
        <w:rPr>
          <w:rFonts w:ascii="Times New Roman" w:hAnsi="Times New Roman"/>
          <w:sz w:val="20"/>
        </w:rPr>
        <w:t xml:space="preserve">Email: [_________]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 90401 </w:t>
      </w:r>
    </w:p>
    <w:p>
      <w:pPr>
        <w:pStyle w:val="TextBody"/>
        <w:bidi w:val="0"/>
        <w:spacing w:before="0" w:after="0"/>
        <w:jc w:val="left"/>
        <w:rPr>
          <w:rFonts w:ascii="Times New Roman" w:hAnsi="Times New Roman"/>
          <w:sz w:val="20"/>
        </w:rPr>
      </w:pPr>
      <w:r>
        <w:rPr>
          <w:rFonts w:ascii="Times New Roman" w:hAnsi="Times New Roman"/>
          <w:sz w:val="20"/>
        </w:rPr>
        <w:t xml:space="preserve">Attention: [________] </w:t>
      </w:r>
    </w:p>
    <w:p>
      <w:pPr>
        <w:pStyle w:val="TextBody"/>
        <w:bidi w:val="0"/>
        <w:spacing w:before="0" w:after="0"/>
        <w:jc w:val="left"/>
        <w:rPr>
          <w:rFonts w:ascii="Times New Roman" w:hAnsi="Times New Roman"/>
          <w:sz w:val="20"/>
        </w:rPr>
      </w:pPr>
      <w:r>
        <w:rPr>
          <w:rFonts w:ascii="Times New Roman" w:hAnsi="Times New Roman"/>
          <w:sz w:val="20"/>
        </w:rPr>
        <w:t xml:space="preserve">Email: [_________] </w:t>
      </w:r>
    </w:p>
    <w:p>
      <w:pPr>
        <w:pStyle w:val="TextBody"/>
        <w:bidi w:val="0"/>
        <w:spacing w:before="240" w:after="0"/>
        <w:jc w:val="left"/>
        <w:rPr>
          <w:rFonts w:ascii="Times New Roman" w:hAnsi="Times New Roman"/>
          <w:sz w:val="20"/>
        </w:rPr>
      </w:pPr>
      <w:r>
        <w:rPr>
          <w:rFonts w:ascii="Times New Roman" w:hAnsi="Times New Roman"/>
          <w:sz w:val="20"/>
        </w:rPr>
        <w:t xml:space="preserve">(b) Address for notices or communications to Dealer: </w:t>
      </w:r>
    </w:p>
    <w:p>
      <w:pPr>
        <w:pStyle w:val="TextBody"/>
        <w:bidi w:val="0"/>
        <w:spacing w:before="120" w:after="0"/>
        <w:jc w:val="left"/>
        <w:rPr>
          <w:rFonts w:ascii="Times New Roman" w:hAnsi="Times New Roman"/>
          <w:sz w:val="20"/>
        </w:rPr>
      </w:pPr>
      <w:r>
        <w:rPr>
          <w:rFonts w:ascii="Times New Roman" w:hAnsi="Times New Roman"/>
          <w:sz w:val="20"/>
        </w:rPr>
        <w:t xml:space="preserve">[To: [____________]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[____________] </w:t>
      </w:r>
    </w:p>
    <w:p>
      <w:pPr>
        <w:pStyle w:val="TextBody"/>
        <w:bidi w:val="0"/>
        <w:spacing w:before="0" w:after="0"/>
        <w:jc w:val="left"/>
        <w:rPr>
          <w:rFonts w:ascii="Times New Roman" w:hAnsi="Times New Roman"/>
          <w:sz w:val="20"/>
        </w:rPr>
      </w:pPr>
      <w:r>
        <w:rPr>
          <w:rFonts w:ascii="Times New Roman" w:hAnsi="Times New Roman"/>
          <w:sz w:val="20"/>
        </w:rPr>
        <w:t xml:space="preserve">Telephone: [____________] </w:t>
      </w:r>
    </w:p>
    <w:p>
      <w:pPr>
        <w:pStyle w:val="TextBody"/>
        <w:bidi w:val="0"/>
        <w:spacing w:before="0" w:after="0"/>
        <w:jc w:val="left"/>
        <w:rPr>
          <w:rFonts w:ascii="Times New Roman" w:hAnsi="Times New Roman"/>
          <w:sz w:val="20"/>
        </w:rPr>
      </w:pPr>
      <w:r>
        <w:rPr>
          <w:rFonts w:ascii="Times New Roman" w:hAnsi="Times New Roman"/>
          <w:sz w:val="20"/>
        </w:rPr>
        <w:t xml:space="preserve">Email: [____________]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Dealer’s account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Update as appropriate for Dealer.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To: [____________]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[____________] </w:t>
      </w:r>
    </w:p>
    <w:p>
      <w:pPr>
        <w:pStyle w:val="TextBody"/>
        <w:bidi w:val="0"/>
        <w:spacing w:before="0" w:after="0"/>
        <w:jc w:val="left"/>
        <w:rPr>
          <w:rFonts w:ascii="Times New Roman" w:hAnsi="Times New Roman"/>
          <w:sz w:val="20"/>
        </w:rPr>
      </w:pPr>
      <w:r>
        <w:rPr>
          <w:rFonts w:ascii="Times New Roman" w:hAnsi="Times New Roman"/>
          <w:sz w:val="20"/>
        </w:rPr>
        <w:t xml:space="preserve">Telephone: [____________] </w:t>
      </w:r>
    </w:p>
    <w:p>
      <w:pPr>
        <w:pStyle w:val="TextBody"/>
        <w:bidi w:val="0"/>
        <w:spacing w:before="0" w:after="0"/>
        <w:jc w:val="left"/>
        <w:rPr>
          <w:rFonts w:ascii="Times New Roman" w:hAnsi="Times New Roman"/>
          <w:sz w:val="20"/>
        </w:rPr>
      </w:pPr>
      <w:r>
        <w:rPr>
          <w:rFonts w:ascii="Times New Roman" w:hAnsi="Times New Roman"/>
          <w:sz w:val="20"/>
        </w:rPr>
        <w:t xml:space="preserve">Email: [____________]]40 </w:t>
      </w:r>
    </w:p>
    <w:p>
      <w:pPr>
        <w:pStyle w:val="TextBody"/>
        <w:bidi w:val="0"/>
        <w:spacing w:before="240" w:after="0"/>
        <w:jc w:val="left"/>
        <w:rPr>
          <w:rFonts w:ascii="Times New Roman" w:hAnsi="Times New Roman"/>
          <w:sz w:val="20"/>
        </w:rPr>
      </w:pPr>
      <w:r>
        <w:rPr>
          <w:rFonts w:ascii="Times New Roman" w:hAnsi="Times New Roman"/>
          <w:sz w:val="20"/>
        </w:rPr>
        <w:t xml:space="preserve">(c) Any notice given by Dealer (in any of its capacities hereunder) to Counterparty or to Parent shall be deemed to constitute simultaneous notice to each of them, and any notice by Counterparty or Parent shall be deemed to constitute simultaneous notice to Dealer from each of them.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Representations and Warranties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Representations and Warranties of Counterparty and Parent. Each of Counterparty and Parent hereby represents and warrants to Dealer on the date hereof and on and as of the Premium Payment Date, in lieu of the representations set forth in Section 3(a) of the Agreement, that: </w:t>
      </w:r>
    </w:p>
    <w:p>
      <w:pPr>
        <w:pStyle w:val="TextBody"/>
        <w:bidi w:val="0"/>
        <w:spacing w:before="120" w:after="0"/>
        <w:jc w:val="left"/>
        <w:rPr>
          <w:rFonts w:ascii="Times New Roman" w:hAnsi="Times New Roman"/>
          <w:sz w:val="20"/>
        </w:rPr>
      </w:pPr>
      <w:r>
        <w:rPr>
          <w:rFonts w:ascii="Times New Roman" w:hAnsi="Times New Roman"/>
          <w:sz w:val="20"/>
        </w:rPr>
        <w:t xml:space="preserve">(i) Neither Counterparty nor Parent is and, after consummation of the transactions contemplated hereby, neither will be required to register as an “investment company” as such term is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(ii) Each of Counterparty and Parent is an “eligible contract participant” (as such term is defined in Section 1a(18) of the Commodity Exchange Act, as amended, other than a person that is an eligible contract participant under Section 1a(18)(C) of the Commodity Exchange Act). </w:t>
      </w:r>
    </w:p>
    <w:p>
      <w:pPr>
        <w:pStyle w:val="TextBody"/>
        <w:bidi w:val="0"/>
        <w:spacing w:before="240" w:after="0"/>
        <w:jc w:val="left"/>
        <w:rPr>
          <w:rFonts w:ascii="Times New Roman" w:hAnsi="Times New Roman"/>
          <w:sz w:val="20"/>
        </w:rPr>
      </w:pPr>
      <w:r>
        <w:rPr>
          <w:rFonts w:ascii="Times New Roman" w:hAnsi="Times New Roman"/>
          <w:sz w:val="20"/>
        </w:rPr>
        <w:t xml:space="preserve">(iii) Neither Counterparty nor Parent is, on the date hereof, in possession of any material non-public information with respect to Counterparty, Parent or the Shares. </w:t>
      </w:r>
    </w:p>
    <w:p>
      <w:pPr>
        <w:pStyle w:val="TextBody"/>
        <w:bidi w:val="0"/>
        <w:spacing w:before="240" w:after="0"/>
        <w:jc w:val="left"/>
        <w:rPr>
          <w:rFonts w:ascii="Times New Roman" w:hAnsi="Times New Roman"/>
          <w:sz w:val="20"/>
        </w:rPr>
      </w:pPr>
      <w:r>
        <w:rPr>
          <w:rFonts w:ascii="Times New Roman" w:hAnsi="Times New Roman"/>
          <w:sz w:val="20"/>
        </w:rPr>
        <w:t xml:space="preserve">(iv) Each of Parent and Counterparty has all necessary corporate power and authority to execute, deliver and perform its obligations in respect of the Transaction; such execution, delivery and performance have been duly authorized by all necessary corporate action on the part of each of Parent and Counterparty; and this Confirmation has been duly and validly executed and delivered by each of Counterparty and Parent and constitutes its valid and binding obligation, enforceable against each of Counterparty and Parent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(v) Neither the execution and delivery of this Confirmation nor the incurrence or performance of obligations of each of Counterparty and Parent hereunder will conflict with or result in a breach of the certificate of incorporation or limited partnership or by-laws (or any equivalent documents) of either of Counterparty or Parent, or any applicable law or regulation, or any order, writ, injunction or decree of any court or governmental authority or agency, or any agreement or instrument to which either of Counterparty or Parent or any of their respective subsidiaries is a party or by which either of Counterparty or Parent or any of their respective subsidiaries is bound or to which either of Counterparty or Parent or any of their respective subsidiaries is subject, or constitute a default under, or result in the creation of any lien under, any such agreement or instrument. </w:t>
      </w:r>
    </w:p>
    <w:p>
      <w:pPr>
        <w:pStyle w:val="TextBody"/>
        <w:bidi w:val="0"/>
        <w:spacing w:before="240" w:after="0"/>
        <w:jc w:val="left"/>
        <w:rPr>
          <w:rFonts w:ascii="Times New Roman" w:hAnsi="Times New Roman"/>
          <w:sz w:val="20"/>
        </w:rPr>
      </w:pPr>
      <w:r>
        <w:rPr>
          <w:rFonts w:ascii="Times New Roman" w:hAnsi="Times New Roman"/>
          <w:sz w:val="20"/>
        </w:rPr>
        <w:t xml:space="preserve">(vi) No consent, approval, authorization, or order of, or filing with, any governmental agency or body or any court is required in connection with the execution, delivery or performance by Counterparty or Parent of this Confirmation, except such as have been obtained or made and such as may be required under the Securities Act or state securities laws.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Dealer’s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To the knowledge of each of Counterparty and Parent, other than pursuant to the Certificate of Incorporation, no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(except for filings of any Form 13F, Schedule 13D or Schedule 13G under the Exchange Act); </w:t>
      </w:r>
      <w:r>
        <w:rPr>
          <w:rFonts w:ascii="Times New Roman" w:hAnsi="Times New Roman"/>
          <w:i/>
          <w:sz w:val="20"/>
        </w:rPr>
        <w:t>provided</w:t>
      </w:r>
      <w:r>
        <w:rPr>
          <w:rFonts w:ascii="Times New Roman" w:hAnsi="Times New Roman"/>
          <w:sz w:val="20"/>
        </w:rPr>
        <w:t xml:space="preserve"> that neither Counterparty nor Parent makes any representation or warranty regarding any such requirement that is applicable generally to the ownership of equity securities by Dealer or any of its affiliates solely as a result of it or any of such affiliates being financial institutions or broker-dealers. </w:t>
      </w:r>
    </w:p>
    <w:p>
      <w:pPr>
        <w:pStyle w:val="TextBody"/>
        <w:bidi w:val="0"/>
        <w:spacing w:before="240" w:after="0"/>
        <w:jc w:val="left"/>
        <w:rPr>
          <w:rFonts w:ascii="Times New Roman" w:hAnsi="Times New Roman"/>
          <w:sz w:val="20"/>
        </w:rPr>
      </w:pPr>
      <w:r>
        <w:rPr>
          <w:rFonts w:ascii="Times New Roman" w:hAnsi="Times New Roman"/>
          <w:sz w:val="20"/>
        </w:rPr>
        <w:t xml:space="preserve">(viii) Each of Counterparty and Parent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 </w:t>
      </w:r>
    </w:p>
    <w:p>
      <w:pPr>
        <w:pStyle w:val="TextBody"/>
        <w:bidi w:val="0"/>
        <w:spacing w:before="240" w:after="0"/>
        <w:jc w:val="left"/>
        <w:rPr>
          <w:rFonts w:ascii="Times New Roman" w:hAnsi="Times New Roman"/>
          <w:sz w:val="20"/>
        </w:rPr>
      </w:pPr>
      <w:r>
        <w:rPr>
          <w:rFonts w:ascii="Times New Roman" w:hAnsi="Times New Roman"/>
          <w:sz w:val="20"/>
        </w:rPr>
        <w:t>(ix) In respect of each of Counterparty and Parent, on the Trade Date and the Premium Payment Date, (A) the value of the total assets of such person is greater than the sum of the total liabilities (including contingent liabilities) and the capital of such person, (B) the capital of such person is adequate to conduct the business of such person, and such person’s entry into the Transaction will not impair its capital, (C) such person has the ability to pay its debts and obligations as such debts mature and does not intend to, or does not believe that it will, incur debt beyond its ability to pay as such debts mature, (D) such person will be able to continue as a going concern; (E) such person is not “insolvent” (as such term is defined under Section 101(32) of the U.S. Bankruptcy Code (Title 11 of the United States Code) (the “</w:t>
      </w:r>
      <w:r>
        <w:rPr>
          <w:rFonts w:ascii="Times New Roman" w:hAnsi="Times New Roman"/>
          <w:b/>
          <w:sz w:val="20"/>
        </w:rPr>
        <w:t>Bankruptcy Code</w:t>
      </w:r>
      <w:r>
        <w:rPr>
          <w:rFonts w:ascii="Times New Roman" w:hAnsi="Times New Roman"/>
          <w:sz w:val="20"/>
        </w:rPr>
        <w:t xml:space="preserve">”)) and (F) such person would be able to purchase the number of Shares with respect to the Transaction in compliance with the laws of the jurisdiction of such person’s incorporation. </w:t>
      </w:r>
    </w:p>
    <w:p>
      <w:pPr>
        <w:pStyle w:val="TextBody"/>
        <w:bidi w:val="0"/>
        <w:spacing w:before="240" w:after="0"/>
        <w:jc w:val="left"/>
        <w:rPr>
          <w:rFonts w:ascii="Times New Roman" w:hAnsi="Times New Roman"/>
          <w:sz w:val="20"/>
        </w:rPr>
      </w:pPr>
      <w:r>
        <w:rPr>
          <w:rFonts w:ascii="Times New Roman" w:hAnsi="Times New Roman"/>
          <w:sz w:val="20"/>
        </w:rPr>
        <w:t>(x) Parent has all necessary corporate power and authority to execute, deliver and perform its obligations in respect of the letter agreement (the “</w:t>
      </w:r>
      <w:r>
        <w:rPr>
          <w:rFonts w:ascii="Times New Roman" w:hAnsi="Times New Roman"/>
          <w:b/>
          <w:sz w:val="20"/>
        </w:rPr>
        <w:t>Waiver”</w:t>
      </w:r>
      <w:r>
        <w:rPr>
          <w:rFonts w:ascii="Times New Roman" w:hAnsi="Times New Roman"/>
          <w:sz w:val="20"/>
        </w:rPr>
        <w:t xml:space="preserve">), dated as of August [__]41, 2026, delivered by Parent to Dealer; such execution, delivery and performance have been duly authorized by all necessary corporate action on Parent’s part; and the Waiver has been duly and validly executed and delivered by Parent and constitutes its valid and binding obligation, enforceable against Parent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(xi) [Each of Counterparty and Parent has received, read and understands the OTC Options Risk Disclosure Statement and a copy of the most recent disclosure pamphlet prepared by The Options Clearing Corporation entitled “Characteristics and Risks of Standardized Options”.]42 </w:t>
      </w:r>
    </w:p>
    <w:p>
      <w:pPr>
        <w:pStyle w:val="TextBody"/>
        <w:bidi w:val="0"/>
        <w:spacing w:before="240" w:after="0"/>
        <w:jc w:val="left"/>
        <w:rPr>
          <w:rFonts w:ascii="Times New Roman" w:hAnsi="Times New Roman"/>
          <w:sz w:val="20"/>
        </w:rPr>
      </w:pPr>
      <w:r>
        <w:rPr>
          <w:rFonts w:ascii="Times New Roman" w:hAnsi="Times New Roman"/>
          <w:sz w:val="20"/>
        </w:rPr>
        <w:t xml:space="preserve">(b) Representations and Warranties of Dealer. Dealer hereby represents and warrants to Counterparty and Parent on the date hereof and on and as of the Premium Payment Date, in lieu of the representations set forth in Section 3(a) of the Agreement, that: </w:t>
      </w:r>
    </w:p>
    <w:p>
      <w:pPr>
        <w:pStyle w:val="TextBody"/>
        <w:bidi w:val="0"/>
        <w:spacing w:before="120" w:after="0"/>
        <w:jc w:val="left"/>
        <w:rPr>
          <w:rFonts w:ascii="Times New Roman" w:hAnsi="Times New Roman"/>
          <w:sz w:val="20"/>
        </w:rPr>
      </w:pPr>
      <w:r>
        <w:rPr>
          <w:rFonts w:ascii="Times New Roman" w:hAnsi="Times New Roman"/>
          <w:sz w:val="20"/>
        </w:rPr>
        <w:t xml:space="preserve">(i) Dealer has all necessary power and authority to execute, deliver and perform its obligations in respect of the Transaction; such execution, delivery and performance have been duly authorized by all necessary action on Dealer’s part; and this Confirmation has been duly and validly executed and delivered by Dealer and constitutes its valid and binding obligation, enforceable against Dealer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(ii) Neither the execution and delivery of this Confirmation nor the incurrence or performance of obligations of Dealer hereunder will conflict with or result in a breach of (1) the certificate of incorporation or by laws (or any equivalent documents) of Dealer, or (2) any applicable law or regulation, or any order, writ, injunction or decree of any court or governmental authority or agency, or (3) any agreement or instrument to which Dealer or any of its subsidiaries is a party or by which Dealer or any of its subsidiaries is bound or to which Dealer or any of its subsidiaries is subject, or (4) constitute a default under, or result in the creation of any lien under, any such agreement or instrument.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date of waiver.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applicable Dealers.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consent, approval, authorization, or order of, or filing with, any governmental agency or body or any court is required in connection with the execution, delivery or performance by Dealer of this Confirmation, except such as have been obtained or made and such as may be required under the Securities Act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(iv) Dealer is an “eligible contract participant” (as such term is defined in Section 1a(18) of the Commodity Exchange Act, as amended, other than a person that is an eligible contract participant under Section 1a(18)(C) of the Commodity Exchange Act). </w:t>
      </w:r>
    </w:p>
    <w:p>
      <w:pPr>
        <w:pStyle w:val="TextBody"/>
        <w:bidi w:val="0"/>
        <w:spacing w:before="240" w:after="0"/>
        <w:jc w:val="left"/>
        <w:rPr>
          <w:rFonts w:ascii="Times New Roman" w:hAnsi="Times New Roman"/>
          <w:sz w:val="20"/>
        </w:rPr>
      </w:pPr>
      <w:r>
        <w:rPr>
          <w:rFonts w:ascii="Times New Roman" w:hAnsi="Times New Roman"/>
          <w:sz w:val="20"/>
        </w:rPr>
        <w:t xml:space="preserve">(v) On each of the Trade Date and the Premium Payment Date, Dealer is not “insolvent” (as such term is defined under Section 101(32)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Other Provisions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Opinions</w:t>
      </w:r>
      <w:r>
        <w:rPr>
          <w:rFonts w:ascii="Times New Roman" w:hAnsi="Times New Roman"/>
          <w:sz w:val="20"/>
        </w:rPr>
        <w:t xml:space="preserve">. Counterparty and Parent shall deliver to Dealer an opinion of counsel, dated as of the Premium Payment Date, with respect to the matters set forth in Section 8(a)(iv) through (vi), subject to customary assumptions, qualifications, and exceptions. Delivery of such opinion to Dealer shall be a condition precedent for the purpose of Section 2(a)(iii) of the Agreement with respect to each obligation of Dealer under Section 2(a)(i)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Repurchase Notices</w:t>
      </w:r>
      <w:r>
        <w:rPr>
          <w:rFonts w:ascii="Times New Roman" w:hAnsi="Times New Roman"/>
          <w:sz w:val="20"/>
        </w:rPr>
        <w:t>. Counterparty or Parent shall, at least one Scheduled Valid Day prior to any day on which Counterparty or Parent intends to effect any repurchase of Shares, give Dealer a written notice of such repurchase (a “</w:t>
      </w:r>
      <w:r>
        <w:rPr>
          <w:rFonts w:ascii="Times New Roman" w:hAnsi="Times New Roman"/>
          <w:b/>
          <w:sz w:val="20"/>
        </w:rPr>
        <w:t>Repurchase Notice</w:t>
      </w:r>
      <w:r>
        <w:rPr>
          <w:rFonts w:ascii="Times New Roman" w:hAnsi="Times New Roman"/>
          <w:sz w:val="20"/>
        </w:rPr>
        <w:t>”) if following such repurchase, the number of outstanding Shares as determined on such day is (i) less than [__]43 million (in the case of the first such notice) or (ii) thereafter more than [__]44 million less than the number of Shares included in the immediately preceding Repurchase Notice. Counterparty and Parent jointly and severally agree to indemnify and hold harmless Dealer and its affiliates and their respective officers, directors, employees, affiliates, advisors, agents and controlling persons (each, an “</w:t>
      </w:r>
      <w:r>
        <w:rPr>
          <w:rFonts w:ascii="Times New Roman" w:hAnsi="Times New Roman"/>
          <w:b/>
          <w:sz w:val="20"/>
        </w:rPr>
        <w:t>Indemnified Person</w:t>
      </w:r>
      <w:r>
        <w:rPr>
          <w:rFonts w:ascii="Times New Roman" w:hAnsi="Times New Roman"/>
          <w:sz w:val="20"/>
        </w:rPr>
        <w:t xml:space="preserve">”) from and against any and all commercially reasonable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under or resulting from the operation of any ownership limitations contained in the Certificate of Incorporation (other than those arising as a result of breaches or inaccuracies of representation or warranties made by Dealer to Parent in connection with the Waiver) and, in each case, any commercially reasonable losses in connection therewith with respect to the Transaction, in each case, assuming that Dealer maintains a commercially reasonable hedge position), claims, damages, judgments, liabilities and commercially reasonable and documented out-of-pocket expenses (including reasonable external attorney’s fees), joint or several, which an Indemnified Person may become subject to, as a result of Counterparty’s or Parent’s failure to provide Dealer with a Repurchase Notice when and in the manner specified in this paragraph, and to reimburse, within 30 days, upon written request, each of such Indemnified Persons for any reasonable and documented out-of-pocket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or Parent’s failure to provide Dealer with a Repurchase Notice in accordance with this paragraph, such Indemnified Person shall promptly notify Counterparty and Parent in writing, and Counterparty and/or Parent, upon request of the Indemnified Person, shall retain one counsel reasonably satisfactory to the Indemnified Person to represent the Indemnified Person and any others Counterparty and/or Parent may designate in such proceeding and shall pay the reasonable and documented out-of-pocket fees and expenses of such counsel related to such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number of Shares outstanding that would cause Dealer’s current position in the Shares underlying the Transaction (including the number of Shares underlying any additional transaction if the greenshoe is exercised in full) to increase by 0.5%. To be determined based on Dealer with highest Applicable Percentage.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number of Shares that, if repurchased, would cause Dealer’s current position in the Shares underlying the Transaction (including the number of Shares underlying any additional transaction if the greenshoe is exercised in full) to increase by a further 0.5% from the threshold for the first Repurchase Notice. To be determined based on Dealer with highest Applicable Percentage.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Counterparty and Parent shall be relieved from liability to the extent that any Indemnified Person fails to promptly notify Counterparty and Parent of any action commenced against it in respect of which indemnity may be sought hereunder to the extent Counterparty and/or Parent are materially prejudiced as a result thereof. Counterparty and Parent shall not be liable for any settlement of any proceeding contemplated by this paragraph that is effected without its written consent, but if settled with such consent or if there be a final judgment for the plaintiff, Counterparty and Parent jointly and severally agree to indemnify any Indemnified Person from and against any commercially reasonable loss or liability by reason of such settlement or judgment. Counterparty and Parent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Counterparty shall not be liable for any losses, claims, damages or liabilities (or expenses relating thereto) of any Indemnified Person that result from the bad faith, gross negligence, willful misconduct or fraud of such Indemnified Person. If the indemnification provided for in this paragraph is unavailable to an Indemnified Person or insufficient in respect of any losses, claims, damages or liabilities referred to therein, then Counterparty and Parent hereunder, in lieu of indemnifying such Indemnified Person thereunder, shall contribute, jointly and severally,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w:t>
      </w:r>
      <w:r>
        <w:rPr>
          <w:rFonts w:ascii="Times New Roman" w:hAnsi="Times New Roman"/>
          <w:i/>
          <w:sz w:val="20"/>
          <w:u w:val="single"/>
        </w:rPr>
        <w:t>provided</w:t>
      </w:r>
      <w:r>
        <w:rPr>
          <w:rFonts w:ascii="Times New Roman" w:hAnsi="Times New Roman"/>
          <w:sz w:val="20"/>
        </w:rPr>
        <w:t xml:space="preserve"> that in no event shall Counterparty be responsible hereunder for any fees and expenses of more than one counsel (in addition to any local counsel) for all Indemnified Persons in connection with any suit, action, proceeding (including any governmental or regulatory investigation), claim or demand in the same jurisdiction. The indemnity and contribution agreements contained in this paragraph shall remain operative and in full force and effect regardless of the termination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Regulation M</w:t>
      </w:r>
      <w:r>
        <w:rPr>
          <w:rFonts w:ascii="Times New Roman" w:hAnsi="Times New Roman"/>
          <w:sz w:val="20"/>
        </w:rPr>
        <w:t>. Neither Counterparty nor Parent is on the Trade Date engaged in a distribution, as such term is used in Regulation M under the Securities Exchange Act of 1934, as amended (the “</w:t>
      </w:r>
      <w:r>
        <w:rPr>
          <w:rFonts w:ascii="Times New Roman" w:hAnsi="Times New Roman"/>
          <w:b/>
          <w:sz w:val="20"/>
        </w:rPr>
        <w:t>Exchange Act</w:t>
      </w:r>
      <w:r>
        <w:rPr>
          <w:rFonts w:ascii="Times New Roman" w:hAnsi="Times New Roman"/>
          <w:sz w:val="20"/>
        </w:rPr>
        <w:t xml:space="preserve">”), of any securities of Counterparty or Parent, as applicable, other than a distribution meeting the requirements of the exception set forth in Rules 101(b)(10) and 102(b)(7) of Regulation M. Neither Counterparty nor Parent shall, until the second Scheduled Trading Day immediately following the Effective Date, engage in any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No Manipulation</w:t>
      </w:r>
      <w:r>
        <w:rPr>
          <w:rFonts w:ascii="Times New Roman" w:hAnsi="Times New Roman"/>
          <w:sz w:val="20"/>
        </w:rPr>
        <w:t xml:space="preserve">. Neither Counterparty nor Parent is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in violation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Transfer or Assignment</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Parent may not transfer any of its rights or obligations under the Transaction without the prior written consent of Dealer. Counterparty shall have the right to transfer or assign its rights and obligations hereunder with respect to all, but not less than all, of the Options hereunder (such Options, the “</w:t>
      </w:r>
      <w:r>
        <w:rPr>
          <w:rFonts w:ascii="Times New Roman" w:hAnsi="Times New Roman"/>
          <w:b/>
          <w:sz w:val="20"/>
        </w:rPr>
        <w:t>Transfer Options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transfer or assignment shall be subject to reasonable conditions that Dealer may impose, including but not limited,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Transfer Options, Counterparty shall not be released from its notice and indemnification obligations pursuant to Section 9(b) of this Confirmation or any obligations under Section 9(n) or 9(s) of this Confirmation; </w:t>
      </w:r>
    </w:p>
    <w:p>
      <w:pPr>
        <w:pStyle w:val="TextBody"/>
        <w:bidi w:val="0"/>
        <w:spacing w:before="120" w:after="0"/>
        <w:jc w:val="left"/>
        <w:rPr>
          <w:rFonts w:ascii="Times New Roman" w:hAnsi="Times New Roman"/>
          <w:sz w:val="20"/>
        </w:rPr>
      </w:pPr>
      <w:r>
        <w:rPr>
          <w:rFonts w:ascii="Times New Roman" w:hAnsi="Times New Roman"/>
          <w:sz w:val="20"/>
        </w:rPr>
        <w:t>(B) Any Transfer Options shall only be transferred or assigned to a third party that is a United States person (as defined in the Internal Revenue Code of 1986, as amended) (the “</w:t>
      </w:r>
      <w:r>
        <w:rPr>
          <w:rFonts w:ascii="Times New Roman" w:hAnsi="Times New Roman"/>
          <w:b/>
          <w:sz w:val="20"/>
        </w:rPr>
        <w:t>Code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by and reasonably satisfactory to Dealer;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Dealer will not, as a result of such transfer and assignment, have an obligation to pay the transferee on any payment date an amount under Section 2(d)(i)(4) of the Agreement greater than an amount that Dealer would have been required to pay to Counterparty in the absence of such transfer and assignment; </w:t>
      </w:r>
    </w:p>
    <w:p>
      <w:pPr>
        <w:pStyle w:val="TextBody"/>
        <w:bidi w:val="0"/>
        <w:spacing w:before="120" w:after="0"/>
        <w:jc w:val="left"/>
        <w:rPr>
          <w:rFonts w:ascii="Times New Roman" w:hAnsi="Times New Roman"/>
          <w:sz w:val="20"/>
        </w:rPr>
      </w:pPr>
      <w:r>
        <w:rPr>
          <w:rFonts w:ascii="Times New Roman" w:hAnsi="Times New Roman"/>
          <w:sz w:val="20"/>
        </w:rPr>
        <w:t xml:space="preserve">(E) No Event of Default, Potential Event of Default or Termination Event will occur as a result of such transfer and assignment; </w:t>
      </w:r>
    </w:p>
    <w:p>
      <w:pPr>
        <w:pStyle w:val="TextBody"/>
        <w:bidi w:val="0"/>
        <w:spacing w:before="120" w:after="0"/>
        <w:jc w:val="left"/>
        <w:rPr>
          <w:rFonts w:ascii="Times New Roman" w:hAnsi="Times New Roman"/>
          <w:sz w:val="20"/>
        </w:rPr>
      </w:pPr>
      <w:r>
        <w:rPr>
          <w:rFonts w:ascii="Times New Roman" w:hAnsi="Times New Roman"/>
          <w:sz w:val="20"/>
        </w:rPr>
        <w:t xml:space="preserve">(F) 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 </w:t>
      </w:r>
    </w:p>
    <w:p>
      <w:pPr>
        <w:pStyle w:val="TextBody"/>
        <w:bidi w:val="0"/>
        <w:spacing w:before="120" w:after="0"/>
        <w:jc w:val="left"/>
        <w:rPr>
          <w:rFonts w:ascii="Times New Roman" w:hAnsi="Times New Roman"/>
          <w:sz w:val="20"/>
        </w:rPr>
      </w:pPr>
      <w:r>
        <w:rPr>
          <w:rFonts w:ascii="Times New Roman" w:hAnsi="Times New Roman"/>
          <w:sz w:val="20"/>
        </w:rPr>
        <w:t xml:space="preserve">(G) Counterparty shall be responsible for all reasonable costs and expenses, including reasonable counsel fees, incurred by Dealer in connection with such transfer or assignment. </w:t>
      </w:r>
    </w:p>
    <w:p>
      <w:pPr>
        <w:pStyle w:val="TextBody"/>
        <w:bidi w:val="0"/>
        <w:spacing w:before="240" w:after="0"/>
        <w:jc w:val="left"/>
        <w:rPr>
          <w:rFonts w:ascii="Times New Roman" w:hAnsi="Times New Roman"/>
          <w:sz w:val="20"/>
        </w:rPr>
      </w:pPr>
      <w:r>
        <w:rPr>
          <w:rFonts w:ascii="Times New Roman" w:hAnsi="Times New Roman"/>
          <w:sz w:val="20"/>
        </w:rPr>
        <w:t>(ii) Dealer may transfer or assign all or any part of its rights or obligations under the Transaction without Counterparty’s or Parent’s consent, (A) to any affiliate or branch of Dealer whose obligations would be guaranteed, pursuant to the terms of a customary guarantee in a form used by Dealer generally for similar transactions, by Dealer or Dealer’s ultimate parent or (B) to any person (including any affiliate of Dealer whose obligations are not guaranteed in the manner described in clause (A)) or any person whose obligations would be guaranteed by a person (a “</w:t>
      </w:r>
      <w:r>
        <w:rPr>
          <w:rFonts w:ascii="Times New Roman" w:hAnsi="Times New Roman"/>
          <w:b/>
          <w:sz w:val="20"/>
        </w:rPr>
        <w:t>Designated Transferee</w:t>
      </w:r>
      <w:r>
        <w:rPr>
          <w:rFonts w:ascii="Times New Roman" w:hAnsi="Times New Roman"/>
          <w:sz w:val="20"/>
        </w:rPr>
        <w:t xml:space="preserve">”), in either case under this clause (B), with a rating for its long-term, unsecured and unsubordinated indebtedness at least equivalent to Dealer’s (or its guarantor’s),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this clause (B), in no event shall the credit rating of the Designated Transferee or of its guarantor (whichever is higher) be lower than A3 from Moody’s Investor Service, Inc. or its successor or A-from Standard and Poor’s Rating Group, Inc. or its successor (or, if either S&amp;P or Moody’s ceases to rate such debt, at least an equivalent rating or better by a substitute rating agency mutually agreed by Counterparty and Dealer); </w:t>
      </w:r>
      <w:r>
        <w:rPr>
          <w:rFonts w:ascii="Times New Roman" w:hAnsi="Times New Roman"/>
          <w:i/>
          <w:sz w:val="20"/>
        </w:rPr>
        <w:t>provided</w:t>
      </w:r>
      <w:r>
        <w:rPr>
          <w:rFonts w:ascii="Times New Roman" w:hAnsi="Times New Roman"/>
          <w:sz w:val="20"/>
        </w:rPr>
        <w:t>, however, Dealer may transfer or assign pursuant to this paragraph only if (A) either (i) the transferee is a “dealer in securities” within the meaning of Section 475(c)(1) of the Internal Revenue Code of 1986, as amended (the “</w:t>
      </w:r>
      <w:r>
        <w:rPr>
          <w:rFonts w:ascii="Times New Roman" w:hAnsi="Times New Roman"/>
          <w:b/>
          <w:sz w:val="20"/>
        </w:rPr>
        <w:t>Code</w:t>
      </w:r>
      <w:r>
        <w:rPr>
          <w:rFonts w:ascii="Times New Roman" w:hAnsi="Times New Roman"/>
          <w:sz w:val="20"/>
        </w:rPr>
        <w:t>”), or (ii) the transfer or assignment does not otherwise constitute a “deemed exchange” by Counterparty within the meaning of Section 1001 of the Code, (B) immediately after any such transfer or assignment, Counterparty will not, as a result of any withholding or deduction made by the transferee or assignee as a result of any Tax, receive from the transferee or assignee on any payment date or delivery date (after accounting for amounts paid by the transferee or assignee under Section 2(d)(i)(4) of the Agreement as well as such withholding or deduction) an amount or a number of Shares, as applicable, lower than the amount or the number of Shares, as applicable, that Dealer would have been required to pay or deliver to Counterparty in the absence of such transfer or assignment and (C) no Event of Default, Potential Event of Default or Termination Event will occur as a result of such transfer and assignment. If at any time at which (A) the Section 16 Percentage exceeds 8.5%, (B) the Option Equity Percentage exceeds 14.5%, (C) the Certificate of Incorporation Percentage exceeds [__]%45 or (D) the Share Amount exceeds the Applicable Share Limit (if any applies) (any such condition described in clauses (A), (B), (C) or (D), an “</w:t>
      </w:r>
      <w:r>
        <w:rPr>
          <w:rFonts w:ascii="Times New Roman" w:hAnsi="Times New Roman"/>
          <w:b/>
          <w:sz w:val="20"/>
        </w:rPr>
        <w:t>Excess Ownership Position</w:t>
      </w:r>
      <w:r>
        <w:rPr>
          <w:rFonts w:ascii="Times New Roman" w:hAnsi="Times New Roman"/>
          <w:sz w:val="20"/>
        </w:rPr>
        <w:t>”), Dealer, acting in good faith,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hAnsi="Times New Roman"/>
          <w:b/>
          <w:sz w:val="20"/>
        </w:rPr>
        <w:t>Terminated Portion</w:t>
      </w:r>
      <w:r>
        <w:rPr>
          <w:rFonts w:ascii="Times New Roman" w:hAnsi="Times New Roman"/>
          <w:sz w:val="20"/>
        </w:rPr>
        <w:t xml:space="preserve">”),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percentage that is 1.0% less than the increased ownership limit percentage for such Dealer pursuant to clause (i) of the proviso to the second paragraph of the Waiver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sole Affected Party with respect to such partial termination and (3) the Terminated Portion were the sole Affected Transaction (and, for the avoidance of doubt, the provisions of Section 9(l) of this Confirmation shall apply to any amount that is payable by Dealer to Counterparty pursuant to this sentence as if Counterparty was not the Affected Party). The “</w:t>
      </w:r>
      <w:r>
        <w:rPr>
          <w:rFonts w:ascii="Times New Roman" w:hAnsi="Times New Roman"/>
          <w:b/>
          <w:sz w:val="20"/>
        </w:rPr>
        <w:t>Section</w:t>
      </w:r>
      <w:r>
        <w:rPr>
          <w:rFonts w:ascii="Times New Roman" w:hAnsi="Times New Roman"/>
          <w:sz w:val="20"/>
        </w:rPr>
        <w:t> </w:t>
      </w:r>
      <w:r>
        <w:rPr>
          <w:rFonts w:ascii="Times New Roman" w:hAnsi="Times New Roman"/>
          <w:b/>
          <w:sz w:val="20"/>
        </w:rPr>
        <w:t>16 Percentage</w:t>
      </w:r>
      <w:r>
        <w:rPr>
          <w:rFonts w:ascii="Times New Roman" w:hAnsi="Times New Roman"/>
          <w:sz w:val="20"/>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hAnsi="Times New Roman"/>
          <w:b/>
          <w:sz w:val="20"/>
        </w:rPr>
        <w:t>Option Equity Percentage</w:t>
      </w:r>
      <w:r>
        <w:rPr>
          <w:rFonts w:ascii="Times New Roman" w:hAnsi="Times New Roman"/>
          <w:sz w:val="20"/>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 w:hAnsi="Times New Roman"/>
          <w:b/>
          <w:sz w:val="20"/>
        </w:rPr>
        <w:t>Share Amount</w:t>
      </w:r>
      <w:r>
        <w:rPr>
          <w:rFonts w:ascii="Times New Roman" w:hAnsi="Times New Roman"/>
          <w:sz w:val="20"/>
        </w:rPr>
        <w:t>” as of any day is the number of Shares that Dealer and any person whose ownership position would be aggregated with that of Dealer (Dealer or any such person, a “</w:t>
      </w:r>
      <w:r>
        <w:rPr>
          <w:rFonts w:ascii="Times New Roman" w:hAnsi="Times New Roman"/>
          <w:b/>
          <w:sz w:val="20"/>
        </w:rPr>
        <w:t>Dealer Person</w:t>
      </w:r>
      <w:r>
        <w:rPr>
          <w:rFonts w:ascii="Times New Roman" w:hAnsi="Times New Roman"/>
          <w:sz w:val="20"/>
        </w:rPr>
        <w:t>”) under any law, rule, regulation, regulatory order or organizational documents or contracts of Counterparty or Parent that are, in each case, applicable to ownership of Shares (“</w:t>
      </w:r>
      <w:r>
        <w:rPr>
          <w:rFonts w:ascii="Times New Roman" w:hAnsi="Times New Roman"/>
          <w:b/>
          <w:sz w:val="20"/>
        </w:rPr>
        <w:t>Applicable Restrictions</w:t>
      </w:r>
      <w:r>
        <w:rPr>
          <w:rFonts w:ascii="Times New Roman" w:hAnsi="Times New Roman"/>
          <w:sz w:val="20"/>
        </w:rPr>
        <w:t>”), owns, beneficially owns, constructively owns, controls, holds the power to vote or otherwise meets a relevant definition of ownership under any Applicable Restriction, as determined by Dealer in its reasonable discretion. The “</w:t>
      </w:r>
      <w:r>
        <w:rPr>
          <w:rFonts w:ascii="Times New Roman" w:hAnsi="Times New Roman"/>
          <w:b/>
          <w:sz w:val="20"/>
        </w:rPr>
        <w:t>Applicable Share Limit</w:t>
      </w:r>
      <w:r>
        <w:rPr>
          <w:rFonts w:ascii="Times New Roman" w:hAnsi="Times New Roman"/>
          <w:sz w:val="20"/>
        </w:rPr>
        <w:t xml:space="preserve">” means a number of Shares equal to (A) the minimum number of Shares that, in Dealer’s reasonable judgment based on advice of counsel, could give rise to reporting or registration obligations (except for filings on Form 13F, Schedule 13D or Schedule 13G,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hAnsi="Times New Roman"/>
          <w:i/>
          <w:sz w:val="20"/>
        </w:rPr>
        <w:t>minus</w:t>
      </w:r>
      <w:r>
        <w:rPr>
          <w:rFonts w:ascii="Times New Roman" w:hAnsi="Times New Roman"/>
          <w:sz w:val="20"/>
        </w:rPr>
        <w:t xml:space="preserve"> (B) 1% of the number of Shares outstanding. The “</w:t>
      </w:r>
      <w:r>
        <w:rPr>
          <w:rFonts w:ascii="Times New Roman" w:hAnsi="Times New Roman"/>
          <w:b/>
          <w:sz w:val="20"/>
        </w:rPr>
        <w:t>Certificate of Incorporation Percentage</w:t>
      </w:r>
      <w:r>
        <w:rPr>
          <w:rFonts w:ascii="Times New Roman" w:hAnsi="Times New Roman"/>
          <w:sz w:val="20"/>
        </w:rPr>
        <w:t xml:space="preserve">” as of any day is the fraction, expressed as a percentage, (A) the numerator of which is the number of Shares that Dealer “Beneficially Owns” and “Constructively Owns” (as defined in the Certificate of Incorporation) and (B) the denominator of which is the aggregate number of the outstanding Shares on such day. Dealer shall provide Counterparty with written notice of any transfer or assignment on the date of or as promptly as practicable after the date of such transfer or assignment.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Staggered Settlement</w:t>
      </w:r>
      <w:r>
        <w:rPr>
          <w:rFonts w:ascii="Times New Roman" w:hAnsi="Times New Roman"/>
          <w:sz w:val="20"/>
        </w:rPr>
        <w:t>. If upon advice of counsel with respect to applicable legal and regulatory requirements, including any requirements relating to Dealer’s commercially reasonable hedging activities hereunder, Dealer reasonably determines, based on the advice of counsel, that it would not be practicable or advisable to deliver, or to acquire Shares to deliver, any or all of the Shares to be delivered by Dealer on any Settlement Date for the Transaction, Dealer may, by written notice to Counterparty on or prior to any Settlement Date (a “</w:t>
      </w:r>
      <w:r>
        <w:rPr>
          <w:rFonts w:ascii="Times New Roman" w:hAnsi="Times New Roman"/>
          <w:b/>
          <w:sz w:val="20"/>
        </w:rPr>
        <w:t>Nominal Settlement Date</w:t>
      </w:r>
      <w:r>
        <w:rPr>
          <w:rFonts w:ascii="Times New Roman" w:hAnsi="Times New Roman"/>
          <w:sz w:val="20"/>
        </w:rPr>
        <w:t>”), elect to deliver the Shares on two or more dates (each, a “</w:t>
      </w:r>
      <w:r>
        <w:rPr>
          <w:rFonts w:ascii="Times New Roman" w:hAnsi="Times New Roman"/>
          <w:b/>
          <w:sz w:val="20"/>
        </w:rPr>
        <w:t>Staggered Settlement Date</w:t>
      </w:r>
      <w:r>
        <w:rPr>
          <w:rFonts w:ascii="Times New Roman" w:hAnsi="Times New Roman"/>
          <w:sz w:val="20"/>
          <w:u w:val="single"/>
        </w:rPr>
        <w:t>”) as follows: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such notice, Dealer will specify to Counterparty the related Staggered Settlement Dates (the first of which will be on or prior to such Nominal Settlement Date and the last of which will be no later than the twentieth (20th) Exchange Business Day following such Nominal Settlement Date) and the number of Shares that it will deliver on each Staggered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(ii) the aggregate number of Shares that Dealer will deliver to Counterparty hereunder on all such Staggered Settlement Dates will equal the number of Shares that Dealer would otherwise be required to deliver on such Nominal Settlement Date; and (iii) 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Dividends</w:t>
      </w:r>
      <w:r>
        <w:rPr>
          <w:rFonts w:ascii="Times New Roman" w:hAnsi="Times New Roman"/>
          <w:sz w:val="20"/>
        </w:rPr>
        <w:t>. If at any time during the period from and including the Trade Date, to but excluding the Expiration Date, (i) an ex-dividend date for a regular quarterly cash dividend occurs with respect to the Shares (an “</w:t>
      </w:r>
      <w:r>
        <w:rPr>
          <w:rFonts w:ascii="Times New Roman" w:hAnsi="Times New Roman"/>
          <w:b/>
          <w:sz w:val="20"/>
        </w:rPr>
        <w:t>Ex-Dividend Date</w:t>
      </w:r>
      <w:r>
        <w:rPr>
          <w:rFonts w:ascii="Times New Roman" w:hAnsi="Times New Roman"/>
          <w:sz w:val="20"/>
        </w:rPr>
        <w:t>”), and that dividend is less than the Regular Dividend on a per Share basis or (ii) if no Ex-Dividend Date for a regular quarterly cash dividend occurs with respect to the Shares in any quarterly dividend period of Parent, then the Calculation Agent will adjust the Cap Price to preserve the fair value of the Options to Dealer after taking into account such dividend or lack thereof. “</w:t>
      </w:r>
      <w:r>
        <w:rPr>
          <w:rFonts w:ascii="Times New Roman" w:hAnsi="Times New Roman"/>
          <w:b/>
          <w:sz w:val="20"/>
        </w:rPr>
        <w:t>Regular Dividend</w:t>
      </w:r>
      <w:r>
        <w:rPr>
          <w:rFonts w:ascii="Times New Roman" w:hAnsi="Times New Roman"/>
          <w:sz w:val="20"/>
        </w:rPr>
        <w:t xml:space="preserve">” shall mean USD [0.17] per Share per quarter. Upon any adjustment to the Dividend Threshold (as defined in the Indenture) for the Exchangeable Notes pursuant to the Indenture, the Calculation Agent will make a corresponding adjustment to the Regular Dividend for the Transaction.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i/>
          <w:sz w:val="20"/>
          <w:u w:val="single"/>
        </w:rPr>
        <w:t>Conduct Rules</w:t>
      </w:r>
      <w:r>
        <w:rPr>
          <w:rFonts w:ascii="Times New Roman" w:hAnsi="Times New Roman"/>
          <w:sz w:val="20"/>
        </w:rPr>
        <w:t>. Each party acknowledges and agrees to be bound by the Conduct Rules of the Financial Industry Regulatory Authority applicable to transactions in options, and further agrees not to violate the position and exercise limits set forth therein.]46[</w:t>
      </w:r>
      <w:r>
        <w:rPr>
          <w:rFonts w:ascii="Times New Roman" w:hAnsi="Times New Roman"/>
          <w:i/>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Additional Termination Events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to the contrary in this Confirmation, upon any Early Exchange in respect of which an Exchange Date has been established under the Indenture by the relevant exchanging “Holder” (as such term is defined in the Indenture): </w:t>
      </w:r>
    </w:p>
    <w:p>
      <w:pPr>
        <w:pStyle w:val="TextBody"/>
        <w:bidi w:val="0"/>
        <w:spacing w:before="120" w:after="0"/>
        <w:jc w:val="left"/>
        <w:rPr>
          <w:rFonts w:ascii="Times New Roman" w:hAnsi="Times New Roman"/>
          <w:sz w:val="20"/>
        </w:rPr>
      </w:pPr>
      <w:r>
        <w:rPr>
          <w:rFonts w:ascii="Times New Roman" w:hAnsi="Times New Roman"/>
          <w:sz w:val="20"/>
        </w:rPr>
        <w:t>(A) Counterparty shall, within five Scheduled Trading Days of the Exchange Date for such Early Exchange, provide written notice (an “</w:t>
      </w:r>
      <w:r>
        <w:rPr>
          <w:rFonts w:ascii="Times New Roman" w:hAnsi="Times New Roman"/>
          <w:b/>
          <w:sz w:val="20"/>
        </w:rPr>
        <w:t>Early Exchange Notice</w:t>
      </w:r>
      <w:r>
        <w:rPr>
          <w:rFonts w:ascii="Times New Roman" w:hAnsi="Times New Roman"/>
          <w:sz w:val="20"/>
        </w:rPr>
        <w:t>”) to Dealer specifying the number of Exchangeable Notes surrendered for exchange on such Exchange Date (such Exchangeable Notes, the “</w:t>
      </w:r>
      <w:r>
        <w:rPr>
          <w:rFonts w:ascii="Times New Roman" w:hAnsi="Times New Roman"/>
          <w:b/>
          <w:sz w:val="20"/>
        </w:rPr>
        <w:t>Affected Exchangeable Notes</w:t>
      </w:r>
      <w:r>
        <w:rPr>
          <w:rFonts w:ascii="Times New Roman" w:hAnsi="Times New Roman"/>
          <w:sz w:val="20"/>
        </w:rPr>
        <w:t xml:space="preserve">”), and the giving of such Early Exchange Notice shall constitute an Additional Termination Event as provided in this clause (i)[; </w:t>
      </w:r>
      <w:r>
        <w:rPr>
          <w:rFonts w:ascii="Times New Roman" w:hAnsi="Times New Roman"/>
          <w:i/>
          <w:sz w:val="20"/>
        </w:rPr>
        <w:t xml:space="preserve">provided </w:t>
      </w:r>
      <w:r>
        <w:rPr>
          <w:rFonts w:ascii="Times New Roman" w:hAnsi="Times New Roman"/>
          <w:sz w:val="20"/>
        </w:rPr>
        <w:t xml:space="preserve">that any “Early Exchange Notice” delivered to Dealer pursuant to the Base Call Option Confirmation shall deemed to be an Early Exchange Notice pursuant to this Confirmation and the terms of such Early Exchange Notice shall apply, </w:t>
      </w:r>
      <w:r>
        <w:rPr>
          <w:rFonts w:ascii="Times New Roman" w:hAnsi="Times New Roman"/>
          <w:i/>
          <w:sz w:val="20"/>
        </w:rPr>
        <w:t>mutatis mutandis</w:t>
      </w:r>
      <w:r>
        <w:rPr>
          <w:rFonts w:ascii="Times New Roman" w:hAnsi="Times New Roman"/>
          <w:sz w:val="20"/>
        </w:rPr>
        <w:t>, to this Confirmation]47; [</w:t>
      </w:r>
      <w:r>
        <w:rPr>
          <w:rFonts w:ascii="Times New Roman" w:hAnsi="Times New Roman"/>
          <w:i/>
          <w:sz w:val="20"/>
        </w:rPr>
        <w:t>provided, further</w:t>
      </w:r>
      <w:r>
        <w:rPr>
          <w:rFonts w:ascii="Times New Roman" w:hAnsi="Times New Roman"/>
          <w:sz w:val="20"/>
        </w:rPr>
        <w:t xml:space="preserve">, that the provisions of this Section 9(i)(i) shall not apply to any Affected Exchangeable Note (i) with respect to which Counterparty has made an “[Exchange Election]” (as defined in the Indenture) pursuant to Section [5.08]48 of the Indenture and (ii) that has been accepted by the designated financial institution pursuant to Section [5.08]49 of the Indenture, except to the extent that Counterparty notifies Dealer, within five Scheduled Trading Days of the then applicable exchange settlement date determined pursuant to Section [5.03(C)]50 of the Indenture, that (x) such financial institution has failed to pay or deliver, as the case may be, the consideration due upon exchange of such Affected Exchangeable Note, or (y) such Affected Exchangeable Note is subsequently resubmitted to Counterparty for exchange in accordance with the terms of the Indenture;] </w:t>
      </w:r>
    </w:p>
    <w:p>
      <w:pPr>
        <w:pStyle w:val="TextBody"/>
        <w:bidi w:val="0"/>
        <w:spacing w:before="120" w:after="0"/>
        <w:jc w:val="left"/>
        <w:rPr>
          <w:rFonts w:ascii="Times New Roman" w:hAnsi="Times New Roman"/>
          <w:sz w:val="20"/>
        </w:rPr>
      </w:pPr>
      <w:r>
        <w:rPr>
          <w:rFonts w:ascii="Times New Roman" w:hAnsi="Times New Roman"/>
          <w:sz w:val="20"/>
        </w:rPr>
        <w:t>(B) upon receipt of any such Early Exchange Notice, Dealer shall designate an Exchange Business Day as an Early Termination Date (which Exchange Business Day shall be on or as promptly as reasonably practicable after the related settlement date for the exchange of such Affected Exchangeable Notes) with respect to the portion of the Transaction corresponding to a number of Options (the “</w:t>
      </w:r>
      <w:r>
        <w:rPr>
          <w:rFonts w:ascii="Times New Roman" w:hAnsi="Times New Roman"/>
          <w:b/>
          <w:sz w:val="20"/>
        </w:rPr>
        <w:t>Affected Number of Options</w:t>
      </w:r>
      <w:r>
        <w:rPr>
          <w:rFonts w:ascii="Times New Roman" w:hAnsi="Times New Roman"/>
          <w:sz w:val="20"/>
        </w:rPr>
        <w:t>”) equal to the lesser of (x) the number of Affected Exchangeable Notes [</w:t>
      </w:r>
      <w:r>
        <w:rPr>
          <w:rFonts w:ascii="Times New Roman" w:hAnsi="Times New Roman"/>
          <w:i/>
          <w:sz w:val="20"/>
        </w:rPr>
        <w:t xml:space="preserve">minus </w:t>
      </w:r>
      <w:r>
        <w:rPr>
          <w:rFonts w:ascii="Times New Roman" w:hAnsi="Times New Roman"/>
          <w:sz w:val="20"/>
        </w:rPr>
        <w:t xml:space="preserve">the “Affected Number of Options” (as defined in the Base Call Option Confirmation), if any, that relate to such Affected Exchangeable Notes (and for the purposes of determining whether any Options under this Confirmation or under the Base Call Option Confirmation will be among the Affected Number of Options hereunder or under, and as defined in, the Base Call Option Confirmation, the Affected Exchangeable Notes specified in such Early Exchange Notice shall be allocated first to the Base Call Option Confirmation until all Options thereunder are exercised or terminated)]51 and (y) the Number of Options as of the Exchange Date for such Early Exchange;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applicable Dealers.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48 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is in respect of exchange in lieu of exchange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49 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is in respect of exchange in lieu of exchange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applicable section of the indenture in respect of when exchange consideration is due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Additional Call Option Confirmation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hAnsi="Times New Roman"/>
          <w:i/>
          <w:sz w:val="20"/>
        </w:rPr>
        <w:t>provided</w:t>
      </w:r>
      <w:r>
        <w:rPr>
          <w:rFonts w:ascii="Times New Roman" w:hAnsi="Times New Roman"/>
          <w:sz w:val="20"/>
        </w:rPr>
        <w:t xml:space="preserve"> that the amount payable with respect to such termination shall not be greater than (1) the Applicable Percentage, </w:t>
      </w:r>
      <w:r>
        <w:rPr>
          <w:rFonts w:ascii="Times New Roman" w:hAnsi="Times New Roman"/>
          <w:i/>
          <w:sz w:val="20"/>
        </w:rPr>
        <w:t>multiplied by</w:t>
      </w:r>
      <w:r>
        <w:rPr>
          <w:rFonts w:ascii="Times New Roman" w:hAnsi="Times New Roman"/>
          <w:sz w:val="20"/>
        </w:rPr>
        <w:t xml:space="preserve"> (2) the Affected Number of Options, </w:t>
      </w:r>
      <w:r>
        <w:rPr>
          <w:rFonts w:ascii="Times New Roman" w:hAnsi="Times New Roman"/>
          <w:i/>
          <w:sz w:val="20"/>
        </w:rPr>
        <w:t xml:space="preserve">multiplied by </w:t>
      </w:r>
      <w:r>
        <w:rPr>
          <w:rFonts w:ascii="Times New Roman" w:hAnsi="Times New Roman"/>
          <w:sz w:val="20"/>
        </w:rPr>
        <w:t xml:space="preserve">(3) (x) the sum of (i) the amount of cash paid to the “Holder” (as such term is defined in the Indenture) of an Affected Exchangeable Note upon exchange of such Affected Exchangeable Note and (ii) the number of Shares delivered (if any) to the “Holder” (as such term is defined in the Indenture) of an Affected Exchangeable Note upon exchange of such Affected Exchangeable Note (including for such purposes taking into account any applicable adjustments to the “Exchange Rate” (as defined in the Indenture) pursuant to Section [5.07]52 of the Indenture), </w:t>
      </w:r>
      <w:r>
        <w:rPr>
          <w:rFonts w:ascii="Times New Roman" w:hAnsi="Times New Roman"/>
          <w:i/>
          <w:sz w:val="20"/>
        </w:rPr>
        <w:t>multiplied by</w:t>
      </w:r>
      <w:r>
        <w:rPr>
          <w:rFonts w:ascii="Times New Roman" w:hAnsi="Times New Roman"/>
          <w:sz w:val="20"/>
        </w:rPr>
        <w:t xml:space="preserve"> the Applicable Limit Price on the settlement date for the exchange of the relevant Affected Exchangeable Note, </w:t>
      </w:r>
      <w:r>
        <w:rPr>
          <w:rFonts w:ascii="Times New Roman" w:hAnsi="Times New Roman"/>
          <w:i/>
          <w:sz w:val="20"/>
        </w:rPr>
        <w:t>minus</w:t>
      </w:r>
      <w:r>
        <w:rPr>
          <w:rFonts w:ascii="Times New Roman" w:hAnsi="Times New Roman"/>
          <w:sz w:val="20"/>
        </w:rPr>
        <w:t xml:space="preserve"> (y) the Synthetic Instrument Adjusted Issue Price per Exchangeable Note, as determined by the Calculation Agent in good faith and in a commercially reasonable manner. “</w:t>
      </w:r>
      <w:r>
        <w:rPr>
          <w:rFonts w:ascii="Times New Roman" w:hAnsi="Times New Roman"/>
          <w:b/>
          <w:sz w:val="20"/>
        </w:rPr>
        <w:t>Synthetic Instrument Adjusted Issue Price per Exchangeable Note</w:t>
      </w:r>
      <w:r>
        <w:rPr>
          <w:rFonts w:ascii="Times New Roman" w:hAnsi="Times New Roman"/>
          <w:sz w:val="20"/>
        </w:rPr>
        <w:t>” shall mean the amount determined by the Calculation Agent utilizing the numbers in the table set forth below based on the date of payment of the amount due with respect to the relevant Affected Number of Options (the “</w:t>
      </w:r>
      <w:r>
        <w:rPr>
          <w:rFonts w:ascii="Times New Roman" w:hAnsi="Times New Roman"/>
          <w:b/>
          <w:sz w:val="20"/>
        </w:rPr>
        <w:t>Affected Unwind Date</w:t>
      </w:r>
      <w:r>
        <w:rPr>
          <w:rFonts w:ascii="Times New Roman" w:hAnsi="Times New Roman"/>
          <w:sz w:val="20"/>
        </w:rPr>
        <w:t xml:space="preserve">”). If the Affected Unwind Date is not listed below, the amount in the preceding sentence shall be determined by the Calculation Agent by reference to the table below using a linear interpolation between the lower and higher Synthetic Instrument Adjusted Issue Prices per Exchangeable Note for the dates immediately preceding and immediately following the Affected Unwind Date. For the avoidance of doubt, any payment pursuant to this paragraph shall be subject to Section 9(l) of this Confirmation.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14"/>
        <w:gridCol w:w="492"/>
        <w:gridCol w:w="3336"/>
        <w:gridCol w:w="492"/>
        <w:gridCol w:w="221"/>
      </w:tblGrid>
      <w:tr>
        <w:trPr/>
        <w:tc>
          <w:tcPr>
            <w:tcW w:w="3214"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21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Affected Unwind Date</w:t>
            </w:r>
          </w:p>
        </w:tc>
        <w:tc>
          <w:tcPr>
            <w:tcW w:w="492" w:type="dxa"/>
            <w:tcBorders/>
            <w:vAlign w:val="bottom"/>
          </w:tcPr>
          <w:p>
            <w:pPr>
              <w:pStyle w:val="TableContents"/>
              <w:bidi w:val="0"/>
              <w:spacing w:before="0" w:after="283"/>
              <w:jc w:val="left"/>
              <w:rPr/>
            </w:pPr>
            <w:r>
              <w:rPr/>
              <w:t>  </w:t>
            </w:r>
          </w:p>
        </w:tc>
        <w:tc>
          <w:tcPr>
            <w:tcW w:w="3336" w:type="dxa"/>
            <w:tcBorders>
              <w:bottom w:val="single" w:sz="8" w:space="0" w:color="000000"/>
            </w:tcBorders>
            <w:tcMar>
              <w:bottom w:w="28" w:type="dxa"/>
            </w:tcMar>
            <w:vAlign w:val="bottom"/>
          </w:tcPr>
          <w:p>
            <w:pPr>
              <w:pStyle w:val="TableContents"/>
              <w:bidi w:val="0"/>
              <w:spacing w:before="0" w:after="283"/>
              <w:jc w:val="center"/>
              <w:rPr/>
            </w:pPr>
            <w:r>
              <w:rPr/>
              <w:t>Synthetic Instrument Adjusted</w:t>
              <w:br/>
              <w:t>Issue Price per Exchangeable Note</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[_] 2026</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2027</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2027</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2028</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2028</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2029</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2029</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2030</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2030</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2031</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r>
        <w:trPr/>
        <w:tc>
          <w:tcPr>
            <w:tcW w:w="32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2031</w:t>
            </w:r>
          </w:p>
        </w:tc>
        <w:tc>
          <w:tcPr>
            <w:tcW w:w="492"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center"/>
              <w:rPr/>
            </w:pPr>
            <w:r>
              <w:rPr/>
              <w:t>USD</w:t>
            </w:r>
          </w:p>
        </w:tc>
        <w:tc>
          <w:tcPr>
            <w:tcW w:w="4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center"/>
              <w:rPr/>
            </w:pPr>
            <w:r>
              <w:rPr/>
              <w:t>[_______]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(D) for the avoidance of doubt, in determining the amount payable in respect of such Affected Transaction pursuant to Section 6 of the Agreement, the Calculation Agent shall assume that (x) the relevant Early Exchange and any exchanges, adjustments, agreements, payments, deliveries or acquisitions by or on behalf of Counterparty or Parent leading thereto had not occurred, (y) no adjustments to the “Exchange Rate” (as such term is defined in the Indenture) have occurred pursuant to any Excluded Provision and (z) the corresponding Exchangeable Notes remain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(E) the Transaction shall remain in full force and effect, except that, as of the Exchange Date for such Early Exchange, the Number of Options shall be reduced by the Affected Number of Options.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the Indenture with the make-whole adjustment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Notwithstanding anything to the contrary in this Confirmation, if an event of default with respect to Counterparty or Parent occurs under the terms of the Exchangeable Notes as set forth in Section [7.01]53 of the Indenture and the Exchangeable Notes have been accelerated and declared due and payable as a result thereof,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(iii) [Reserved]. </w:t>
      </w:r>
    </w:p>
    <w:p>
      <w:pPr>
        <w:pStyle w:val="TextBody"/>
        <w:bidi w:val="0"/>
        <w:spacing w:before="240" w:after="0"/>
        <w:jc w:val="left"/>
        <w:rPr>
          <w:rFonts w:ascii="Times New Roman" w:hAnsi="Times New Roman"/>
          <w:sz w:val="20"/>
        </w:rPr>
      </w:pPr>
      <w:r>
        <w:rPr>
          <w:rFonts w:ascii="Times New Roman" w:hAnsi="Times New Roman"/>
          <w:sz w:val="20"/>
        </w:rPr>
        <w:t>(iv) Within five Scheduled Trading Days following any Repayment Event (as defined below) described in the immediately succeeding clause (i) and within fifteen Scheduled Trading Days following any other Repayment Event, Counterparty (i) shall (solely to the extent that such Repayment Event is in respect of a repurchase or redemption of the Exchangeable Notes pursuant to Section [4.02]54 or Section [4.03]55 of the Indenture), and (ii) otherwise may, but shall not be obligated to, notify Dealer of such Repayment Event and the aggregate principal amount of Exchangeable Notes subject to such Repayment Event (any such notice, a “</w:t>
      </w:r>
      <w:r>
        <w:rPr>
          <w:rFonts w:ascii="Times New Roman" w:hAnsi="Times New Roman"/>
          <w:b/>
          <w:sz w:val="20"/>
        </w:rPr>
        <w:t>Repayment Notice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the case of (ii) only, such Repayment Notice shall contain the representation and warranty by each of Counterparty and Parent that each such person is not, on the date thereof, aware of any material non-public information with respect to Counterparty, Parent or the Shares[; </w:t>
      </w:r>
      <w:r>
        <w:rPr>
          <w:rFonts w:ascii="Times New Roman" w:hAnsi="Times New Roman"/>
          <w:i/>
          <w:sz w:val="20"/>
        </w:rPr>
        <w:t>provided, further</w:t>
      </w:r>
      <w:r>
        <w:rPr>
          <w:rFonts w:ascii="Times New Roman" w:hAnsi="Times New Roman"/>
          <w:sz w:val="20"/>
        </w:rPr>
        <w:t xml:space="preserve">, that any “Repayment Notice” delivered to Dealer pursuant to the Base Call Option Confirmation shall deemed to be a Repayment Notice pursuant to this Confirmation and the terms of such Repayment Notice shall apply, </w:t>
      </w:r>
      <w:r>
        <w:rPr>
          <w:rFonts w:ascii="Times New Roman" w:hAnsi="Times New Roman"/>
          <w:i/>
          <w:sz w:val="20"/>
        </w:rPr>
        <w:t>mutatis mutandis</w:t>
      </w:r>
      <w:r>
        <w:rPr>
          <w:rFonts w:ascii="Times New Roman" w:hAnsi="Times New Roman"/>
          <w:sz w:val="20"/>
        </w:rPr>
        <w:t xml:space="preserve">, to this Confirmation]56. The receipt by Dealer from Counterparty of any Repayment Notice, within the applicable time period set forth in the preceding sentence, shall constitute an Additional Termination Event as provided in this paragraph, it being understood that no Repayment Event shall constitute an Additional Termination Event hereunder unless Dealer has so received such Repayment Notice. Upon receipt of any such Repayment Notice, Dealer shall designate an Exchange Business Day following receipt of such Repayment Notice (which in no event shall be earlier than the date on which the relevant Repayment Event occurs or is consummated) as an Early Termination Date with respect to the portion of the Transaction corresponding to a number of Options (the “Repayment Options”) equal to the lesser of (A) [(x)] the aggregate principal amount of such Exchangeable Notes specified in such Repayment Notice, </w:t>
      </w:r>
      <w:r>
        <w:rPr>
          <w:rFonts w:ascii="Times New Roman" w:hAnsi="Times New Roman"/>
          <w:i/>
          <w:sz w:val="20"/>
        </w:rPr>
        <w:t>divided by</w:t>
      </w:r>
      <w:r>
        <w:rPr>
          <w:rFonts w:ascii="Times New Roman" w:hAnsi="Times New Roman"/>
          <w:sz w:val="20"/>
        </w:rPr>
        <w:t xml:space="preserve"> USD 1,000, [</w:t>
      </w:r>
      <w:r>
        <w:rPr>
          <w:rFonts w:ascii="Times New Roman" w:hAnsi="Times New Roman"/>
          <w:i/>
          <w:sz w:val="20"/>
        </w:rPr>
        <w:t>minus</w:t>
      </w:r>
      <w:r>
        <w:rPr>
          <w:rFonts w:ascii="Times New Roman" w:hAnsi="Times New Roman"/>
          <w:sz w:val="20"/>
        </w:rPr>
        <w:t xml:space="preserve"> (y) the number of “Repayment Options” (as defined in the Base Call Option Confirmation), if any, that relate to such Exchangeable Notes (and for the purposes of determining whether any Options under this Confirmation or under the Base Call Option Confirmation will be among the Repayment Options hereunder or under, and as defined in, the Base Call Option Confirmation, the Exchangeable Notes specified in such Repayment Notice shall be allocated first to the Base Call Option Confirmation until all Options thereunder are exercised or terminated)]57,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hAnsi="Times New Roman"/>
          <w:b/>
          <w:sz w:val="20"/>
        </w:rPr>
        <w:t>Repayment Unwind Payment</w:t>
      </w:r>
      <w:r>
        <w:rPr>
          <w:rFonts w:ascii="Times New Roman" w:hAnsi="Times New Roman"/>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(3) no adjustments to the “Exchange Rate” (as defined in the Indenture) have occurred pursuant to an Excluded Provision, (4) the corresponding Exchangeable Notes remain outstanding, (5) the relevant Repayment Event and any conversions, adjustments, agreements, payments, deliveries or acquisitions by or on behalf of Counterparty leading thereto had not occurred and (6) the terminated portion of the Transaction was the sole Affected Transaction, </w:t>
      </w:r>
      <w:r>
        <w:rPr>
          <w:rFonts w:ascii="Times New Roman" w:hAnsi="Times New Roman"/>
          <w:i/>
          <w:sz w:val="20"/>
        </w:rPr>
        <w:t>provided</w:t>
      </w:r>
      <w:r>
        <w:rPr>
          <w:rFonts w:ascii="Times New Roman" w:hAnsi="Times New Roman"/>
          <w:sz w:val="20"/>
        </w:rPr>
        <w:t xml:space="preserve"> that, in the event of a Repayment Event in respect of a repurchase or redemption of the Exchangeable Notes pursuant to Section [4.02]58 or Section [4.03]59 of the Indenture, the Repayment Unwind Payment shall not be greater than (x) the number of Repayment Options </w:t>
      </w:r>
      <w:r>
        <w:rPr>
          <w:rFonts w:ascii="Times New Roman" w:hAnsi="Times New Roman"/>
          <w:i/>
          <w:sz w:val="20"/>
        </w:rPr>
        <w:t>multiplied by</w:t>
      </w:r>
      <w:r>
        <w:rPr>
          <w:rFonts w:ascii="Times New Roman" w:hAnsi="Times New Roman"/>
          <w:sz w:val="20"/>
        </w:rPr>
        <w:t xml:space="preserve"> (y) the product of (A) the Applicable Percentage and (B) (x) the amount paid by Counterparty per Exchangeable Note in connection with the relevant Repayment Event pursuant to the relevant sections of the Indenture </w:t>
      </w:r>
      <w:r>
        <w:rPr>
          <w:rFonts w:ascii="Times New Roman" w:hAnsi="Times New Roman"/>
          <w:i/>
          <w:sz w:val="20"/>
        </w:rPr>
        <w:t>minus</w:t>
      </w:r>
      <w:r>
        <w:rPr>
          <w:rFonts w:ascii="Times New Roman" w:hAnsi="Times New Roman"/>
          <w:sz w:val="20"/>
        </w:rPr>
        <w:t xml:space="preserve"> (y) the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section of Indenture that sets forth Events of Default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Fundamental Change Repurchase Section of Indenture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Optional Redemption Section of Indenture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Fundamental Change Repurchase Section of Indenture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Optional Redemption Section of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Repayment Synthetic Instrument Adjusted Issue Price per Exchangeable Note, as determined by the Calculation Agent in good faith and in a commercially reasonable manner. “</w:t>
      </w:r>
      <w:r>
        <w:rPr>
          <w:rFonts w:ascii="Times New Roman" w:hAnsi="Times New Roman"/>
          <w:b/>
          <w:sz w:val="20"/>
        </w:rPr>
        <w:t>Repayment Synthetic Instrument Adjusted Issue Price per Exchangeable Note</w:t>
      </w:r>
      <w:r>
        <w:rPr>
          <w:rFonts w:ascii="Times New Roman" w:hAnsi="Times New Roman"/>
          <w:sz w:val="20"/>
        </w:rPr>
        <w:t>” shall mean the amount determined by the Calculation Agent utilizing the numbers in the table set forth below based on the date of payment of the amount due with respect to the relevant Repayment Options (the “</w:t>
      </w:r>
      <w:r>
        <w:rPr>
          <w:rFonts w:ascii="Times New Roman" w:hAnsi="Times New Roman"/>
          <w:b/>
          <w:sz w:val="20"/>
        </w:rPr>
        <w:t>Repayment Unwind Date</w:t>
      </w:r>
      <w:r>
        <w:rPr>
          <w:rFonts w:ascii="Times New Roman" w:hAnsi="Times New Roman"/>
          <w:sz w:val="20"/>
        </w:rPr>
        <w:t xml:space="preserve">”). If the Repayment Unwind Date is not listed below, the amount in the preceding sentence shall be determined by the Calculation Agent by reference to the table below using a linear interpolation between the lower and higher Repayment Synthetic Instrument Adjusted Issue Prices per Exchangeable Note for the dates immediately preceding and immediately following the Repayment Unwind Date. For the avoidance of doubt, any payment pursuant to this paragraph shall be subject to Section 9(l) of this Confirmation.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81"/>
        <w:gridCol w:w="377"/>
        <w:gridCol w:w="3324"/>
        <w:gridCol w:w="377"/>
        <w:gridCol w:w="196"/>
      </w:tblGrid>
      <w:tr>
        <w:trPr/>
        <w:tc>
          <w:tcPr>
            <w:tcW w:w="3481"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Repayment Affected Unwind Date</w:t>
            </w:r>
          </w:p>
        </w:tc>
        <w:tc>
          <w:tcPr>
            <w:tcW w:w="377" w:type="dxa"/>
            <w:tcBorders/>
            <w:vAlign w:val="bottom"/>
          </w:tcPr>
          <w:p>
            <w:pPr>
              <w:pStyle w:val="TableContents"/>
              <w:bidi w:val="0"/>
              <w:spacing w:before="0" w:after="283"/>
              <w:jc w:val="left"/>
              <w:rPr/>
            </w:pPr>
            <w:r>
              <w:rPr/>
              <w:t>  </w:t>
            </w:r>
          </w:p>
        </w:tc>
        <w:tc>
          <w:tcPr>
            <w:tcW w:w="3324" w:type="dxa"/>
            <w:tcBorders>
              <w:bottom w:val="single" w:sz="8" w:space="0" w:color="000000"/>
            </w:tcBorders>
            <w:tcMar>
              <w:bottom w:w="28" w:type="dxa"/>
            </w:tcMar>
            <w:vAlign w:val="bottom"/>
          </w:tcPr>
          <w:p>
            <w:pPr>
              <w:pStyle w:val="TableContents"/>
              <w:bidi w:val="0"/>
              <w:spacing w:before="0" w:after="283"/>
              <w:jc w:val="center"/>
              <w:rPr/>
            </w:pPr>
            <w:r>
              <w:rPr/>
              <w:t>Repayment Synthetic Instrument</w:t>
              <w:br/>
              <w:t>Adjusted</w:t>
              <w:br/>
              <w:t>Issue Price per Exchangeable Note</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[_] 2026</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2027</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2027</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2028</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2028</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2029</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2029</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2030</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2030</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February 15, 2031</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r>
        <w:trPr/>
        <w:tc>
          <w:tcPr>
            <w:tcW w:w="3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15, 2031</w:t>
            </w:r>
          </w:p>
        </w:tc>
        <w:tc>
          <w:tcPr>
            <w:tcW w:w="377"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center"/>
              <w:rPr/>
            </w:pPr>
            <w:r>
              <w:rPr/>
              <w:t>USD</w:t>
            </w:r>
          </w:p>
        </w:tc>
        <w:tc>
          <w:tcPr>
            <w:tcW w:w="37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center"/>
              <w:rPr/>
            </w:pPr>
            <w:r>
              <w:rPr/>
              <w:t>[_______]</w:t>
            </w:r>
          </w:p>
        </w:tc>
      </w:tr>
    </w:tbl>
    <w:p>
      <w:pPr>
        <w:pStyle w:val="TextBody"/>
        <w:bidi w:val="0"/>
        <w:spacing w:before="240" w:after="0"/>
        <w:jc w:val="left"/>
        <w:rPr/>
      </w:pPr>
      <w:r>
        <w:rPr/>
        <w:t>“</w:t>
      </w:r>
      <w:r>
        <w:rPr>
          <w:rFonts w:ascii="Times New Roman" w:hAnsi="Times New Roman"/>
          <w:b/>
          <w:sz w:val="20"/>
        </w:rPr>
        <w:t>Repayment Event</w:t>
      </w:r>
      <w:r>
        <w:rPr>
          <w:rFonts w:ascii="Times New Roman" w:hAnsi="Times New Roman"/>
          <w:sz w:val="20"/>
        </w:rPr>
        <w:t xml:space="preserve">” means that (i) any Exchangeable Notes are repurchased and cancelled in accordance with the Indenture (whether pursuant to a repurchase or redemption of the Exchangeable Notes pursuant to Section [4.02]60 or Section [4.03]61 of the Indenture or for any other reason) by Counterparty, Parent or any of their respective subsidiaries, (ii) any Exchangeable Notes are delivered to Counterparty, Parent or any of their respective subsidiaries in exchange for delivery of any property or assets of such party (howsoever described), (iii) any principal of any of the Exchangeable Notes is repaid prior to the final maturity date of the Exchangeable Notes (for any reason other than as a result of an acceleration of the Exchangeable Notes that results in an Additional Termination Event pursuant to the preceding Section 9(i)(ii)), or (iv) any Exchangeable Notes are exchanged by or for the benefit of the holders thereof for any other securities of Counterparty, Parent or any of their respective subsidiaries (or any other property, or any combination thereof) pursuant to any exchange offer or similar transaction. For the avoidance of doubt, any exchange of Exchangeable Notes (whether into cash, Shares, reference property or any combination thereof) pursuant to Article 5 of the Indenture shall not constitute a Repayment Event. In addition, each of Counterparty and Parent acknowledges its responsibilities under applicable securities laws, including, in particular, Sections 9 and 10(b) of the Exchange Act and the rules and regulations thereunder in respect of the Repayment Event, including, without limitation, the delivery of a Repayment Notice hereunder. </w:t>
      </w:r>
    </w:p>
    <w:p>
      <w:pPr>
        <w:pStyle w:val="TextBody"/>
        <w:bidi w:val="0"/>
        <w:spacing w:before="240" w:after="0"/>
        <w:jc w:val="left"/>
        <w:rPr>
          <w:rFonts w:ascii="Times New Roman" w:hAnsi="Times New Roman"/>
          <w:sz w:val="20"/>
        </w:rPr>
      </w:pPr>
      <w:r>
        <w:rPr>
          <w:rFonts w:ascii="Times New Roman" w:hAnsi="Times New Roman"/>
          <w:sz w:val="20"/>
        </w:rPr>
        <w:t xml:space="preserve">(v) 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portion thereof) being the Affected Transaction, Counterparty being the sole Affected Party and Dealer being the party entitled to designate an Early Termination Date pursuant to Section 6(b) of the Agreement) shall be deemed to occur, and, in lieu of Sections 12.7, 12.8 and 12.9 of the Equity Definitions, Section 6 of the Agreement shall apply to such Affected Transactions.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Fundamental Change Repurchase Section of Indenture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Optional Redemption Section of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u w:val="single"/>
        </w:rPr>
        <w:t>Amendments to Equity Definitions, Agreement</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in the commercially reasonable judgment of the Calculation Agent, a material economic effect on the Shares or the Options; </w:t>
      </w:r>
      <w:r>
        <w:rPr>
          <w:rFonts w:ascii="Times New Roman" w:hAnsi="Times New Roman"/>
          <w:i/>
          <w:sz w:val="20"/>
        </w:rPr>
        <w:t>provided</w:t>
      </w:r>
      <w:r>
        <w:rPr>
          <w:rFonts w:ascii="Times New Roman" w:hAnsi="Times New Roman"/>
          <w:sz w:val="20"/>
        </w:rPr>
        <w:t xml:space="preserve"> that such event is not based on (a) an observable market, other than the market for Issuer’s own stock or (b) an observable index, other than an index calculated and measured solely by reference to Issuer’s own operations.”. </w:t>
      </w:r>
    </w:p>
    <w:p>
      <w:pPr>
        <w:pStyle w:val="TextBody"/>
        <w:bidi w:val="0"/>
        <w:spacing w:before="240" w:after="0"/>
        <w:jc w:val="left"/>
        <w:rPr>
          <w:rFonts w:ascii="Times New Roman" w:hAnsi="Times New Roman"/>
          <w:sz w:val="20"/>
        </w:rPr>
      </w:pPr>
      <w:r>
        <w:rPr>
          <w:rFonts w:ascii="Times New Roman" w:hAnsi="Times New Roman"/>
          <w:sz w:val="20"/>
        </w:rPr>
        <w:t xml:space="preserve">(ii) Section 12.9(b)(i) of the Equity Definitions is hereby amended by (1) replacing “either party may elect” with “Dealer may elect” and (2) replacing “notice to the other party” with “notice to Counterparty” in the first sentence of such Section. </w:t>
      </w:r>
    </w:p>
    <w:p>
      <w:pPr>
        <w:pStyle w:val="TextBody"/>
        <w:bidi w:val="0"/>
        <w:spacing w:before="240" w:after="0"/>
        <w:jc w:val="left"/>
        <w:rPr>
          <w:rFonts w:ascii="Times New Roman" w:hAnsi="Times New Roman"/>
          <w:sz w:val="20"/>
        </w:rPr>
      </w:pPr>
      <w:r>
        <w:rPr>
          <w:rFonts w:ascii="Times New Roman" w:hAnsi="Times New Roman"/>
          <w:sz w:val="20"/>
        </w:rPr>
        <w:t xml:space="preserve">(iii) 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u w:val="single"/>
        </w:rPr>
        <w:t>Setoff</w:t>
      </w:r>
      <w:r>
        <w:rPr>
          <w:rFonts w:ascii="Times New Roman" w:hAnsi="Times New Roman"/>
          <w:i/>
          <w:sz w:val="20"/>
        </w:rPr>
        <w:t xml:space="preserve">. </w:t>
      </w:r>
      <w:r>
        <w:rPr>
          <w:rFonts w:ascii="Times New Roman" w:hAnsi="Times New Roman"/>
          <w:sz w:val="20"/>
        </w:rPr>
        <w:t xml:space="preserve">Notwithstanding any provision of the Agreement and this Confirmation (including without limitation this Section 9(k)) or any other agreement between the parties to the contrary, each party waives any and all rights it may have to set off obligations arising under the Agreement and the Transaction against other obligations between the parties, whether arising under any other agreement, applicable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u w:val="single"/>
        </w:rPr>
        <w:t>Alternative Calculations and Payment on Early Termination and on Certain Extraordinary Events</w:t>
      </w:r>
      <w:r>
        <w:rPr>
          <w:rFonts w:ascii="Times New Roman" w:hAnsi="Times New Roman"/>
          <w:sz w:val="20"/>
        </w:rPr>
        <w:t>. 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an Announcement Event, Merger Event or Tender Offer that is within Counterparty’s control, or (iii) an Event of Default in which Counterparty is the Defaulting Party or a Termination Event in which Counterparty is the sole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hAnsi="Times New Roman"/>
          <w:b/>
          <w:sz w:val="20"/>
        </w:rPr>
        <w:t>Payment Obligation</w:t>
      </w:r>
      <w:r>
        <w:rPr>
          <w:rFonts w:ascii="Times New Roman" w:hAnsi="Times New Roman"/>
          <w:sz w:val="20"/>
        </w:rPr>
        <w:t xml:space="preserve">”),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(b) each of Counterparty and Parent remakes the representation set forth in Section 8(a)(iii) of this Confirmation as of the date of such election and (c) Dealer agrees, in its sole discretion, to such election, in which case the provisions of Section 12.7 or Section 12.9 of the Equity Definitions, or the provisions of Section 6(d)(ii) of the Agreement, as the case may be, shall apply.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76"/>
        <w:gridCol w:w="122"/>
        <w:gridCol w:w="7707"/>
      </w:tblGrid>
      <w:tr>
        <w:trPr/>
        <w:tc>
          <w:tcPr>
            <w:tcW w:w="23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07" w:type="dxa"/>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Share Termination Alternative:</w:t>
            </w:r>
          </w:p>
        </w:tc>
        <w:tc>
          <w:tcPr>
            <w:tcW w:w="122" w:type="dxa"/>
            <w:tcBorders/>
            <w:vAlign w:val="bottom"/>
          </w:tcPr>
          <w:p>
            <w:pPr>
              <w:pStyle w:val="TableContents"/>
              <w:bidi w:val="0"/>
              <w:spacing w:before="0" w:after="283"/>
              <w:jc w:val="left"/>
              <w:rPr/>
            </w:pPr>
            <w:r>
              <w:rPr/>
              <w:t>  </w:t>
            </w:r>
          </w:p>
        </w:tc>
        <w:tc>
          <w:tcPr>
            <w:tcW w:w="7707" w:type="dxa"/>
            <w:tcBorders/>
          </w:tcPr>
          <w:p>
            <w:pPr>
              <w:pStyle w:val="TableContents"/>
              <w:bidi w:val="0"/>
              <w:spacing w:before="0" w:after="283"/>
              <w:jc w:val="left"/>
              <w:rPr/>
            </w:pPr>
            <w:r>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tc>
      </w:tr>
      <w:tr>
        <w:trPr>
          <w:trHeight w:val="24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Share Termination Delivery Property:</w:t>
            </w:r>
          </w:p>
        </w:tc>
        <w:tc>
          <w:tcPr>
            <w:tcW w:w="122" w:type="dxa"/>
            <w:tcBorders/>
            <w:vAlign w:val="bottom"/>
          </w:tcPr>
          <w:p>
            <w:pPr>
              <w:pStyle w:val="TableContents"/>
              <w:bidi w:val="0"/>
              <w:spacing w:before="0" w:after="283"/>
              <w:jc w:val="left"/>
              <w:rPr/>
            </w:pPr>
            <w:r>
              <w:rPr/>
              <w:t>  </w:t>
            </w:r>
          </w:p>
        </w:tc>
        <w:tc>
          <w:tcPr>
            <w:tcW w:w="7707" w:type="dxa"/>
            <w:tcBorders/>
          </w:tcPr>
          <w:p>
            <w:pPr>
              <w:pStyle w:val="TableContents"/>
              <w:bidi w:val="0"/>
              <w:spacing w:before="0" w:after="283"/>
              <w:jc w:val="left"/>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49"/>
        <w:gridCol w:w="121"/>
        <w:gridCol w:w="7735"/>
      </w:tblGrid>
      <w:tr>
        <w:trPr/>
        <w:tc>
          <w:tcPr>
            <w:tcW w:w="23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3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349" w:type="dxa"/>
            <w:tcBorders/>
            <w:vAlign w:val="center"/>
          </w:tcPr>
          <w:p>
            <w:pPr>
              <w:pStyle w:val="TableContents"/>
              <w:bidi w:val="0"/>
              <w:spacing w:before="0" w:after="283"/>
              <w:jc w:val="left"/>
              <w:rPr>
                <w:sz w:val="4"/>
                <w:szCs w:val="4"/>
              </w:rPr>
            </w:pPr>
            <w:r>
              <w:rPr>
                <w:sz w:val="4"/>
                <w:szCs w:val="4"/>
              </w:rPr>
            </w:r>
          </w:p>
        </w:tc>
        <w:tc>
          <w:tcPr>
            <w:tcW w:w="7856" w:type="dxa"/>
            <w:gridSpan w:val="2"/>
            <w:tcBorders/>
            <w:vAlign w:val="center"/>
          </w:tcPr>
          <w:p>
            <w:pPr>
              <w:pStyle w:val="TableContents"/>
              <w:bidi w:val="0"/>
              <w:spacing w:before="0" w:after="283"/>
              <w:jc w:val="left"/>
              <w:rPr>
                <w:sz w:val="4"/>
                <w:szCs w:val="4"/>
              </w:rPr>
            </w:pPr>
            <w:r>
              <w:rPr>
                <w:sz w:val="4"/>
                <w:szCs w:val="4"/>
              </w:rPr>
            </w:r>
          </w:p>
        </w:tc>
      </w:tr>
      <w:tr>
        <w:trPr/>
        <w:tc>
          <w:tcPr>
            <w:tcW w:w="2349" w:type="dxa"/>
            <w:tcBorders/>
          </w:tcPr>
          <w:p>
            <w:pPr>
              <w:pStyle w:val="TableContents"/>
              <w:bidi w:val="0"/>
              <w:spacing w:before="0" w:after="283"/>
              <w:jc w:val="left"/>
              <w:rPr/>
            </w:pPr>
            <w:r>
              <w:rPr/>
              <w:t>Share Termination Delivery Unit:</w:t>
            </w:r>
          </w:p>
        </w:tc>
        <w:tc>
          <w:tcPr>
            <w:tcW w:w="121"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One Share or, if the Shares have changed into cash or any other property or the right to receive cash or any other property as the result of a Nationalization, Insolvency or Merger Event (any such cash or other property, the “</w:t>
            </w:r>
            <w:r>
              <w:rPr>
                <w:b/>
              </w:rPr>
              <w:t>Exchange Property</w:t>
            </w:r>
            <w:r>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tc>
      </w:tr>
      <w:tr>
        <w:trPr>
          <w:trHeight w:val="240" w:hRule="atLeast"/>
        </w:trPr>
        <w:tc>
          <w:tcPr>
            <w:tcW w:w="2349" w:type="dxa"/>
            <w:tcBorders/>
            <w:vAlign w:val="center"/>
          </w:tcPr>
          <w:p>
            <w:pPr>
              <w:pStyle w:val="TableContents"/>
              <w:bidi w:val="0"/>
              <w:spacing w:before="0" w:after="283"/>
              <w:jc w:val="left"/>
              <w:rPr>
                <w:sz w:val="4"/>
                <w:szCs w:val="4"/>
              </w:rPr>
            </w:pPr>
            <w:r>
              <w:rPr>
                <w:sz w:val="4"/>
                <w:szCs w:val="4"/>
              </w:rPr>
            </w:r>
          </w:p>
        </w:tc>
        <w:tc>
          <w:tcPr>
            <w:tcW w:w="7856" w:type="dxa"/>
            <w:gridSpan w:val="2"/>
            <w:tcBorders/>
            <w:vAlign w:val="center"/>
          </w:tcPr>
          <w:p>
            <w:pPr>
              <w:pStyle w:val="TableContents"/>
              <w:bidi w:val="0"/>
              <w:spacing w:before="0" w:after="283"/>
              <w:jc w:val="left"/>
              <w:rPr>
                <w:sz w:val="4"/>
                <w:szCs w:val="4"/>
              </w:rPr>
            </w:pPr>
            <w:r>
              <w:rPr>
                <w:sz w:val="4"/>
                <w:szCs w:val="4"/>
              </w:rPr>
            </w:r>
          </w:p>
        </w:tc>
      </w:tr>
      <w:tr>
        <w:trPr/>
        <w:tc>
          <w:tcPr>
            <w:tcW w:w="2349" w:type="dxa"/>
            <w:tcBorders/>
          </w:tcPr>
          <w:p>
            <w:pPr>
              <w:pStyle w:val="TableContents"/>
              <w:bidi w:val="0"/>
              <w:spacing w:before="0" w:after="283"/>
              <w:jc w:val="left"/>
              <w:rPr/>
            </w:pPr>
            <w:r>
              <w:rPr/>
              <w:t>Share Termination Unit Price:</w:t>
            </w:r>
          </w:p>
        </w:tc>
        <w:tc>
          <w:tcPr>
            <w:tcW w:w="121"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 that was purchased in connection with the delivery of the Share Termination Delivery Units.</w:t>
            </w:r>
          </w:p>
        </w:tc>
      </w:tr>
      <w:tr>
        <w:trPr>
          <w:trHeight w:val="240" w:hRule="atLeast"/>
        </w:trPr>
        <w:tc>
          <w:tcPr>
            <w:tcW w:w="2349" w:type="dxa"/>
            <w:tcBorders/>
            <w:vAlign w:val="center"/>
          </w:tcPr>
          <w:p>
            <w:pPr>
              <w:pStyle w:val="TableContents"/>
              <w:bidi w:val="0"/>
              <w:spacing w:before="0" w:after="283"/>
              <w:jc w:val="left"/>
              <w:rPr>
                <w:sz w:val="4"/>
                <w:szCs w:val="4"/>
              </w:rPr>
            </w:pPr>
            <w:r>
              <w:rPr>
                <w:sz w:val="4"/>
                <w:szCs w:val="4"/>
              </w:rPr>
            </w:r>
          </w:p>
        </w:tc>
        <w:tc>
          <w:tcPr>
            <w:tcW w:w="7856" w:type="dxa"/>
            <w:gridSpan w:val="2"/>
            <w:tcBorders/>
            <w:vAlign w:val="center"/>
          </w:tcPr>
          <w:p>
            <w:pPr>
              <w:pStyle w:val="TableContents"/>
              <w:bidi w:val="0"/>
              <w:spacing w:before="0" w:after="283"/>
              <w:jc w:val="left"/>
              <w:rPr>
                <w:sz w:val="4"/>
                <w:szCs w:val="4"/>
              </w:rPr>
            </w:pPr>
            <w:r>
              <w:rPr>
                <w:sz w:val="4"/>
                <w:szCs w:val="4"/>
              </w:rPr>
            </w:r>
          </w:p>
        </w:tc>
      </w:tr>
      <w:tr>
        <w:trPr/>
        <w:tc>
          <w:tcPr>
            <w:tcW w:w="2349" w:type="dxa"/>
            <w:tcBorders/>
          </w:tcPr>
          <w:p>
            <w:pPr>
              <w:pStyle w:val="TableContents"/>
              <w:bidi w:val="0"/>
              <w:spacing w:before="0" w:after="283"/>
              <w:jc w:val="left"/>
              <w:rPr/>
            </w:pPr>
            <w:r>
              <w:rPr/>
              <w:t>Failure to Deliver:</w:t>
            </w:r>
          </w:p>
        </w:tc>
        <w:tc>
          <w:tcPr>
            <w:tcW w:w="121"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Applicable</w:t>
            </w:r>
          </w:p>
        </w:tc>
      </w:tr>
      <w:tr>
        <w:trPr>
          <w:trHeight w:val="240" w:hRule="atLeast"/>
        </w:trPr>
        <w:tc>
          <w:tcPr>
            <w:tcW w:w="2349" w:type="dxa"/>
            <w:tcBorders/>
            <w:vAlign w:val="center"/>
          </w:tcPr>
          <w:p>
            <w:pPr>
              <w:pStyle w:val="TableContents"/>
              <w:bidi w:val="0"/>
              <w:spacing w:before="0" w:after="283"/>
              <w:jc w:val="left"/>
              <w:rPr>
                <w:sz w:val="4"/>
                <w:szCs w:val="4"/>
              </w:rPr>
            </w:pPr>
            <w:r>
              <w:rPr>
                <w:sz w:val="4"/>
                <w:szCs w:val="4"/>
              </w:rPr>
            </w:r>
          </w:p>
        </w:tc>
        <w:tc>
          <w:tcPr>
            <w:tcW w:w="7856" w:type="dxa"/>
            <w:gridSpan w:val="2"/>
            <w:tcBorders/>
            <w:vAlign w:val="center"/>
          </w:tcPr>
          <w:p>
            <w:pPr>
              <w:pStyle w:val="TableContents"/>
              <w:bidi w:val="0"/>
              <w:spacing w:before="0" w:after="283"/>
              <w:jc w:val="left"/>
              <w:rPr>
                <w:sz w:val="4"/>
                <w:szCs w:val="4"/>
              </w:rPr>
            </w:pPr>
            <w:r>
              <w:rPr>
                <w:sz w:val="4"/>
                <w:szCs w:val="4"/>
              </w:rPr>
            </w:r>
          </w:p>
        </w:tc>
      </w:tr>
      <w:tr>
        <w:trPr/>
        <w:tc>
          <w:tcPr>
            <w:tcW w:w="2349" w:type="dxa"/>
            <w:tcBorders/>
          </w:tcPr>
          <w:p>
            <w:pPr>
              <w:pStyle w:val="TableContents"/>
              <w:bidi w:val="0"/>
              <w:spacing w:before="0" w:after="283"/>
              <w:jc w:val="left"/>
              <w:rPr/>
            </w:pPr>
            <w:r>
              <w:rPr/>
              <w:t>Other applicable provisions:</w:t>
            </w:r>
          </w:p>
        </w:tc>
        <w:tc>
          <w:tcPr>
            <w:tcW w:w="121"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If Share Termination Alternative is applicable, the provisions of Sections 9.8, 9.9 and 9.11 (as modified above) of the Equity Definitions and the provisions set forth opposite the caption “Representation and Agreement” in Section 2 of this Confirmation will be applicable, except that all references in such provisions to “Physical Settlement” or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u w:val="single"/>
        </w:rPr>
        <w:t>Waiver of Jury Trial</w:t>
      </w:r>
      <w:r>
        <w:rPr>
          <w:rFonts w:ascii="Times New Roman" w:hAnsi="Times New Roman"/>
          <w:sz w:val="20"/>
        </w:rPr>
        <w:t xml:space="preserve">.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u w:val="single"/>
        </w:rPr>
        <w:t>Registration</w:t>
      </w:r>
      <w:r>
        <w:rPr>
          <w:rFonts w:ascii="Times New Roman" w:hAnsi="Times New Roman"/>
          <w:sz w:val="20"/>
        </w:rPr>
        <w:t>. Each of Counterparty and Parent hereby agrees that if, in the good faith reasonable judgment of Dealer, based on the advice of counsel, the Shares acquired and held by Dealer for the purpose of effecting a commercially reasonable hedge of its obligations pursuant to the Transaction (“</w:t>
      </w:r>
      <w:r>
        <w:rPr>
          <w:rFonts w:ascii="Times New Roman" w:hAnsi="Times New Roman"/>
          <w:b/>
          <w:sz w:val="20"/>
        </w:rPr>
        <w:t>Hedge Shares</w:t>
      </w:r>
      <w:r>
        <w:rPr>
          <w:rFonts w:ascii="Times New Roman" w:hAnsi="Times New Roman"/>
          <w:sz w:val="20"/>
        </w:rPr>
        <w:t xml:space="preserve">”) cannot be sold in the U.S. public market by Dealer without registration under the Securities Act (other than any such Hedge Shares that were, at the time of acquisition by Dealer, “restricted securities” (as defined in Rule 144 under the Securities Act)), Counterparty and Parent shall, at Counterparty’s election, either (i) in order to allow Dealer to sell the Hedge Shares in a registered offering, make available to Dealer an effective registration statement under the Securities Act to cover the resale of such Hedge Shares and enter into an agreement, in form and substance reasonably satisfactory to Dealer, substantially in the form of an underwriting agreement for a registered secondary offering of substantially similar size and in a similar industry;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Dealer, in its good faith and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and industry,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 and substance reasonably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for companies of a similar size in a similar industry; </w:t>
      </w:r>
      <w:r>
        <w:rPr>
          <w:rFonts w:ascii="Times New Roman" w:hAnsi="Times New Roman"/>
          <w:i/>
          <w:sz w:val="20"/>
        </w:rPr>
        <w:t>provided</w:t>
      </w:r>
      <w:r>
        <w:rPr>
          <w:rFonts w:ascii="Times New Roman" w:hAnsi="Times New Roman"/>
          <w:sz w:val="20"/>
        </w:rPr>
        <w:t xml:space="preserve"> that no “comfort letter” or accountants’ consent shall be required to be delivered in connection with any private placements), or (iii) purchase the Hedge Shares from Dealer at the then-current market price on such Exchange Business Days, and in the amounts and at such time(s), requested by Dealer (which agreement of Counterparty and Parent shall be joint and several).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u w:val="single"/>
        </w:rPr>
        <w:t>Tax Disclosure</w:t>
      </w:r>
      <w:r>
        <w:rPr>
          <w:rFonts w:ascii="Times New Roman" w:hAnsi="Times New Roman"/>
          <w:sz w:val="20"/>
        </w:rPr>
        <w:t xml:space="preserve">. Effective from the date of commencement of discussions concerning the Transaction, Counterparty, Parent and each of their respective employees, representatives, or other agents may disclose to any and all persons, without limitation of any kind, the tax treatment and tax structure of the Transaction and all materials of any kind (including opinions or other tax analyses) that are provided to Counterparty or Parent relating to such tax treatment and tax structure.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u w:val="single"/>
        </w:rPr>
        <w:t>Right to Extend</w:t>
      </w:r>
      <w:r>
        <w:rPr>
          <w:rFonts w:ascii="Times New Roman" w:hAnsi="Times New Roman"/>
          <w:sz w:val="20"/>
        </w:rPr>
        <w:t xml:space="preserve">. Dealer may postpone or add, in a commercially reasonable manner, in whole or in part, any Valid Day or Valid Days during the Settlement Averaging Period or any other date of valuation, payment or delivery by Dealer, with respect to some or all of the Options hereunder, to the extent Dealer reasonably determines (in the case of clause (i) below, in its commercially reasonable judgment, and in the case of clause (ii) below, based on the advice of counsel), that such action is reasonably necessary or appropriate (i) to preserve Dealer’s commercially reasonable hedging or hedge unwind activity hereunder in light of existing liquidity conditions in the cash market or stock loan market (but only if there is a material decrease in liquidity relative to Dealer’s expectations on the Trade Date) or (ii) to enable Dealer to effect purchases or sales of Shares in connection with its commercially reasonable hedging, hedge unwind or settlement activity hereunder in a manner that would, if Dealer were Parent or an affiliated purchaser of Parent, be in compliance with applicable legal, regulatory or self-regulatory requirements, or with related policies and procedures applicable to Dealer (so long as such policies or procedures have been adopted by Dealer in good faith and are consistently applied to transactions similar to the Transaction); provided that no such Valid Day or other date of valuation, payment or delivery may be postponed or added more than 40 Valid Days after the original Valid Day or other date of valuation, payment or delivery,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u w:val="single"/>
        </w:rPr>
        <w:t>Status of Claims in Bankruptcy</w:t>
      </w:r>
      <w:r>
        <w:rPr>
          <w:rFonts w:ascii="Times New Roman" w:hAnsi="Times New Roman"/>
          <w:sz w:val="20"/>
        </w:rPr>
        <w:t xml:space="preserve">. Dealer acknowledges and agrees that this Confirmation is not intended to convey to Dealer rights against Counterparty or Parent with respect to the Transaction that are senior to the claims of unitholders of Counterparty or common shareholders of Parent, as the case may be, in any United States bankruptcy proceedings of Counterparty or Parent, as applicable; </w:t>
      </w:r>
      <w:r>
        <w:rPr>
          <w:rFonts w:ascii="Times New Roman" w:hAnsi="Times New Roman"/>
          <w:i/>
          <w:sz w:val="20"/>
        </w:rPr>
        <w:t>provided</w:t>
      </w:r>
      <w:r>
        <w:rPr>
          <w:rFonts w:ascii="Times New Roman" w:hAnsi="Times New Roman"/>
          <w:sz w:val="20"/>
        </w:rPr>
        <w:t xml:space="preserve"> that nothing herein shall limit or shall be deemed to limit Dealer’s right to pursue remedies in the event of a breach by Counterparty or Parent of their respective obligations and agreements with respect to the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nothing herein shall limit or shall be deemed to limit Dealer’s rights in respect of any transactions other than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u w:val="single"/>
        </w:rPr>
        <w:t>Securities Contract; Swap Agreement</w:t>
      </w:r>
      <w:r>
        <w:rPr>
          <w:rFonts w:ascii="Times New Roman" w:hAnsi="Times New Roman"/>
          <w:sz w:val="20"/>
        </w:rPr>
        <w:t>. The parties hereto intend for (i) the Transaction to be a “securities contract” and a “swap agreement” as defined in the Bankruptcy Code (Title 11 of the United States Code) (the “</w:t>
      </w:r>
      <w:r>
        <w:rPr>
          <w:rFonts w:ascii="Times New Roman" w:hAnsi="Times New Roman"/>
          <w:b/>
          <w:sz w:val="20"/>
        </w:rPr>
        <w:t>Bankruptcy Code</w:t>
      </w:r>
      <w:r>
        <w:rPr>
          <w:rFonts w:ascii="Times New Roman" w:hAnsi="Times New Roman"/>
          <w:sz w:val="20"/>
        </w:rPr>
        <w:t xml:space="preserv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u w:val="single"/>
        </w:rPr>
        <w:t>Notice of Certain Other Events</w:t>
      </w:r>
      <w:r>
        <w:rPr>
          <w:rFonts w:ascii="Times New Roman" w:hAnsi="Times New Roman"/>
          <w:sz w:val="20"/>
        </w:rPr>
        <w:t xml:space="preserve">. Counterparty and Parent jointly and severally covenant and agree that: </w:t>
      </w:r>
    </w:p>
    <w:p>
      <w:pPr>
        <w:pStyle w:val="TextBody"/>
        <w:bidi w:val="0"/>
        <w:spacing w:before="120" w:after="0"/>
        <w:jc w:val="left"/>
        <w:rPr>
          <w:rFonts w:ascii="Times New Roman" w:hAnsi="Times New Roman"/>
          <w:sz w:val="20"/>
        </w:rPr>
      </w:pPr>
      <w:r>
        <w:rPr>
          <w:rFonts w:ascii="Times New Roman" w:hAnsi="Times New Roman"/>
          <w:sz w:val="20"/>
        </w:rPr>
        <w:t>(i) promptly following the public announcement of the results of any election by the holders of Shares with respect to the consideration due upon consummation of any Merger Event, Counterparty and Parent shall give Dealer written notice of the weighted average of the types and amounts of consideration actually received by holders of Shares pursuant to such Merger Event (the date of such notification, the “</w:t>
      </w:r>
      <w:r>
        <w:rPr>
          <w:rFonts w:ascii="Times New Roman" w:hAnsi="Times New Roman"/>
          <w:b/>
          <w:sz w:val="20"/>
        </w:rPr>
        <w:t>Consideration Notification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the Consideration Notification Date be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the date on which such Merger Event is consummated; and (ii) (A) Counterparty and Parent shall give Dealer commercially reasonable advance (but in no event less than one Exchange Business Day) written notice of the section or sections of the Indenture and, if applicable, the formula therein, pursuant to which any adjustment will be made to the Exchangeable Notes in connection with any Potential Adjustment Event, Merger Event or Tender Offer and (B) promptly following any such adjustment, Counterparty and Parent shall give Dealer written notice of the details of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u w:val="single"/>
        </w:rPr>
        <w:t>Wall Street Transparency and Accountability Act</w:t>
      </w:r>
      <w:r>
        <w:rPr>
          <w:rFonts w:ascii="Times New Roman" w:hAnsi="Times New Roman"/>
          <w:sz w:val="20"/>
        </w:rPr>
        <w:t>. In connection with Section 739 of the Wall Street Transparency and Accountability Act of 2010 (“</w:t>
      </w:r>
      <w:r>
        <w:rPr>
          <w:rFonts w:ascii="Times New Roman" w:hAnsi="Times New Roman"/>
          <w:b/>
          <w:sz w:val="20"/>
        </w:rPr>
        <w:t>WSTAA</w:t>
      </w:r>
      <w:r>
        <w:rPr>
          <w:rFonts w:ascii="Times New Roman" w:hAnsi="Times New Roman"/>
          <w:sz w:val="20"/>
        </w:rPr>
        <w:t xml:space="preserve">”),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u w:val="single"/>
        </w:rPr>
        <w:t>Agreements and Acknowledgements Regarding Hedging</w:t>
      </w:r>
      <w:r>
        <w:rPr>
          <w:rFonts w:ascii="Times New Roman" w:hAnsi="Times New Roman"/>
          <w:sz w:val="20"/>
        </w:rPr>
        <w:t xml:space="preserve">. Each of Counterparty and Parent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 and Parent.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u w:val="single"/>
        </w:rPr>
        <w:t xml:space="preserve">Early Unwind. </w:t>
      </w:r>
      <w:r>
        <w:rPr>
          <w:rFonts w:ascii="Times New Roman" w:hAnsi="Times New Roman"/>
          <w:sz w:val="20"/>
        </w:rPr>
        <w:t>In the event the sale of the [“Firm Securities”]62 [“Additional Securities”]63 (as defined in the Purchase Agreement) is not consummated with the Initial Purchasers for any reason, or Counterparty and Parent fail to deliver to Dealer an opinion of counsel as required pursuant to Section 9(a) of this Confirmation, in each case by 5:00 p.m. (New York City time) on the Premium Payment Date, or such later date as agreed upon by the parties (the Premium Payment Date or such later date, the “</w:t>
      </w:r>
      <w:r>
        <w:rPr>
          <w:rFonts w:ascii="Times New Roman" w:hAnsi="Times New Roman"/>
          <w:b/>
          <w:sz w:val="20"/>
        </w:rPr>
        <w:t>Early Unwind Date</w:t>
      </w:r>
      <w:r>
        <w:rPr>
          <w:rFonts w:ascii="Times New Roman" w:hAnsi="Times New Roman"/>
          <w:sz w:val="20"/>
        </w:rPr>
        <w:t>”), the Transaction shall automatically terminate (the “</w:t>
      </w:r>
      <w:r>
        <w:rPr>
          <w:rFonts w:ascii="Times New Roman" w:hAnsi="Times New Roman"/>
          <w:b/>
          <w:sz w:val="20"/>
        </w:rPr>
        <w:t>Early Unwind</w:t>
      </w:r>
      <w:r>
        <w:rPr>
          <w:rFonts w:ascii="Times New Roman" w:hAnsi="Times New Roman"/>
          <w:sz w:val="20"/>
        </w:rPr>
        <w:t xml:space="preserve">”) on the Early Unwind Date and (i) the Transaction and all of the respective rights and obligations of Dealer, Counterparty and Parent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Counterparty and Parent represents and acknowledges to the other that upon an Early Unwind, all obligations with respect to the Transaction shall be deemed fully and finally discharged.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u w:val="single"/>
        </w:rPr>
        <w:t>Tax Matters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Withholding Tax imposed on payments to non-U.S. counterparties under the United States Foreign Account Tax Compliance provisions of the HIRE Act</w:t>
      </w:r>
      <w:r>
        <w:rPr>
          <w:rFonts w:ascii="Times New Roman" w:hAnsi="Times New Roman"/>
          <w:sz w:val="20"/>
        </w:rPr>
        <w:t>. The parties hereto agree that for the Transaction the term “Indemnifiable Tax” as defined in Section 14 of the Agreement, shall not include any Tax imposed pursuant to Sections 1471 through 1474 of the Code, as amended,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hAnsi="Times New Roman"/>
          <w:b/>
          <w:sz w:val="20"/>
        </w:rPr>
        <w:t>FATCA Withholding Tax</w:t>
      </w:r>
      <w:r>
        <w:rPr>
          <w:rFonts w:ascii="Times New Roman" w:hAnsi="Times New Roman"/>
          <w:sz w:val="20"/>
        </w:rPr>
        <w:t xml:space="preserve">”). For the avoidance of doubt, a FATCA Withholding Tax is a Tax the deduction or withholding of which is required by applicable law for the purposes of Section 2(d)(i) of the Agreement.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Base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Additional Call Option Confirmation.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Tax Documentation</w:t>
      </w:r>
      <w:r>
        <w:rPr>
          <w:rFonts w:ascii="Times New Roman" w:hAnsi="Times New Roman"/>
          <w:sz w:val="20"/>
        </w:rPr>
        <w:t xml:space="preserve">. For purposes of Section 4(a)(i) and (ii) of the Agreement, (i) Counterparty agrees to deliver to Dealer one duly executed and completed United States Internal Revenue Service Form W-9 (or successor thereto) and (ii) Dealer agrees to deliver to Counterparty one duly executed and completed applicable Internal Revenue Service Form [W-8 or W-9 (or successor thereto)]64, in each case, (A) on or before the date of execution of this Confirmation and (B) promptly upon learning that any such tax form previously provided by it has become obsolete or incorrect. Additionally, each party shall, promptly, provide such other tax forms and documents reasonably requested by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Payee Tax Representations</w:t>
      </w:r>
      <w:r>
        <w:rPr>
          <w:rFonts w:ascii="Times New Roman" w:hAnsi="Times New Roman"/>
          <w:sz w:val="20"/>
        </w:rPr>
        <w:t xml:space="preserve">. Counterparty is a partnership for U.S. federal income tax purposes and is organized under the laws of the State of Delaware. Parent is a corporation for U.S. federal income tax purposes and is organized under the laws of the State of Maryland. Parent is a “U.S. person” (as that term is used in section 1.1441-4(a)(3)(ii) of United States Treasury Regulations) for U.S. federal income tax purposes. [Dealer is a “U.S. person” (as that term is used in section 1.1441-4(a)(3)(ii) of United States Treasury Regulations) for U.S. federal income tax purposes and an exempt recipient under Treasury Regulation Section 1.6049-4(c)(1)(ii).]65 Each party agrees to give notice of any failure of a representation made by it under this Section 9(w)(iii) to be accurate and true promptly upon learning of such failure.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Section 871(m)</w:t>
      </w:r>
      <w:r>
        <w:rPr>
          <w:rFonts w:ascii="Times New Roman" w:hAnsi="Times New Roman"/>
          <w:sz w:val="20"/>
        </w:rPr>
        <w:t xml:space="preserve">. The parties hereto agree that for the Transaction the term “Indemnifiable Tax” as defined in Section 14 of the Agreement shall not include any tax imposed on payments treated as dividends from sources within the United States under Section 871(m) of the Code or any regulations issued thereunder. For the avoidance of doubt, any such tax imposed under Section 871(m) of the Code or any regulations thereunder is a Tax the deduction or withholding of which is required by applicable law for the purposes of Section 2(d)(i)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u w:val="single"/>
        </w:rPr>
        <w:t>Payment by Counterparty</w:t>
      </w:r>
      <w:r>
        <w:rPr>
          <w:rFonts w:ascii="Times New Roman" w:hAnsi="Times New Roman"/>
          <w:sz w:val="20"/>
        </w:rPr>
        <w:t xml:space="preserve">.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u w:val="single"/>
        </w:rPr>
        <w:t>Other Adjustments Pursuant to the Equity Definitions</w:t>
      </w:r>
      <w:r>
        <w:rPr>
          <w:rFonts w:ascii="Times New Roman" w:hAnsi="Times New Roman"/>
          <w:sz w:val="20"/>
        </w:rPr>
        <w:t>. Notwithstanding anything to the contrary in the Agreement, the Equity Definitions or this Confirmation, upon the occurrence of a Merger Date, the occurrence of a Tender Offer Date, or declaration by Counterparty or Parent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preserve the fair value of the Options (</w:t>
      </w:r>
      <w:r>
        <w:rPr>
          <w:rFonts w:ascii="Times New Roman" w:hAnsi="Times New Roman"/>
          <w:i/>
          <w:sz w:val="20"/>
        </w:rPr>
        <w:t>provided</w:t>
      </w:r>
      <w:r>
        <w:rPr>
          <w:rFonts w:ascii="Times New Roman" w:hAnsi="Times New Roman"/>
          <w:sz w:val="20"/>
        </w:rPr>
        <w:t xml:space="preserve"> that in no event shall the Cap Price be less than the Strike Price);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further </w:t>
      </w:r>
      <w:r>
        <w:rPr>
          <w:rFonts w:ascii="Times New Roman" w:hAnsi="Times New Roman"/>
          <w:sz w:val="20"/>
        </w:rPr>
        <w:t xml:space="preserve">that (i) with respect to any Announcement Event (or any event that would be an Announcement Event if “35%” and “25%” in the definition thereof were replaced with “0%”), no adjustment to the Cap Price shall be made pursuant to this Section 9(y); (ii) (x) open market Share repurchases at prevailing market price, (y) Share repurchases through a dealer pursuant to accelerated share repurchases, forward contracts or similar transactions (including, without limitation, any discount to average VWAP prices) that are entered into at prevailing market prices and in accordance with customary market terms for transactions of such type to repurchase the Shares and (z) any reacquisition of Shares pursuant to Counterparty’s employee incentive plans in connection with the related equity transactions, or Counterparty’s withholding of Shares to cover tax liabilities associated with such equity transactions, shall not be considered Potential Adjustment Events or Tender Offers so long as, in the case of clauses (x) and (y), such repurchases in aggregate would not reduce the number of total Shares outstanding to be less than [________]66 Shares, as adjusted by the Calculation Agent to account for any subdivision or combination with respect to the Shares and (iii) any adjustment to the Cap Price made pursuant to this Section 9(y) shall be made without duplication of any other adjustment hereunder. Solely for purposes of this Section 9(y): (x) the terms “Potential Adjustment Event,” “Merger Event,” and “Tender Offer” shall each have the meanings assigned to each such term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updated as appropriate for Dealer.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updated as appropriate for Dealer.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number of Shares equal to 75% of Shares outstanding on the Trade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Equity Definitions (in the case of the definition of “Potential Adjustment Event”, as amended by Section 9(j)(i) of this Confirmation, and in the case of the definition of “Tender Offer”, as amended by the provisions opposite the caption “Announcement Event” in Section 3 of this Confirmation) and (y) “Extraordinary Dividend” means any cash dividend on the Shares in an amount per Share in excess of the Regular Dividend (for the avoidance of doubt, determined on a per quarter basis).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u w:val="single"/>
        </w:rPr>
        <w:t>Counterparts</w:t>
      </w:r>
      <w:r>
        <w:rPr>
          <w:rFonts w:ascii="Times New Roman" w:hAnsi="Times New Roman"/>
          <w:sz w:val="20"/>
        </w:rPr>
        <w:t xml:space="preserve">. This Confirmation may be executed in several counterparts, each of which shall be deemed an original but all of which together shall constitute one and the same instrument. Delivery of an executed signature page by facsimile or electronic transmission (e.g. “pdf” or “tif”), or any electronic signature complying with the U.S. federal ESIGN Act of 2000, Uniform Electronic Transactions Act or other applicable law, e.g., www.docusign.com, shall be effective as delivery of a manually executed counterpart hereof.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i/>
          <w:sz w:val="20"/>
          <w:u w:val="single"/>
        </w:rPr>
        <w:t>Insert preferred form of US QFC Stay Rule language for each Dealer, as applicable</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w:t>
      </w:r>
      <w:r>
        <w:rPr>
          <w:rFonts w:ascii="Times New Roman" w:hAnsi="Times New Roman"/>
          <w:i/>
          <w:sz w:val="20"/>
          <w:u w:val="single"/>
        </w:rPr>
        <w:t>Insert additional Dealer boilerplate, if applicable.</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confirm that the foregoing correctly sets forth the terms of the agreement among Dealer, Counterparty and Parent with respect to the Transaction, by signing this Confirmation or this page hereof as evidence of agreement to such terms and providing the other information requested herein and returning an executed copy to Dealer.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56"/>
        <w:gridCol w:w="68"/>
        <w:gridCol w:w="3458"/>
      </w:tblGrid>
      <w:tr>
        <w:trPr/>
        <w:tc>
          <w:tcPr>
            <w:tcW w:w="556"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4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[DEALER]</w:t>
            </w:r>
            <w:r>
              <w:rPr/>
              <w:t>67</w:t>
            </w:r>
          </w:p>
        </w:tc>
      </w:tr>
      <w:tr>
        <w:trPr>
          <w:trHeight w:val="240" w:hRule="atLeast"/>
        </w:trPr>
        <w:tc>
          <w:tcPr>
            <w:tcW w:w="556" w:type="dxa"/>
            <w:tcBorders/>
            <w:vAlign w:val="center"/>
          </w:tcPr>
          <w:p>
            <w:pPr>
              <w:pStyle w:val="TableContents"/>
              <w:bidi w:val="0"/>
              <w:spacing w:before="0" w:after="283"/>
              <w:jc w:val="left"/>
              <w:rPr>
                <w:sz w:val="4"/>
                <w:szCs w:val="4"/>
              </w:rPr>
            </w:pPr>
            <w:r>
              <w:rPr>
                <w:sz w:val="4"/>
                <w:szCs w:val="4"/>
              </w:rPr>
            </w:r>
          </w:p>
        </w:tc>
        <w:tc>
          <w:tcPr>
            <w:tcW w:w="3526"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458" w:type="dxa"/>
            <w:tcBorders>
              <w:bottom w:val="single" w:sz="2" w:space="0" w:color="000000"/>
            </w:tcBorders>
            <w:tcMar>
              <w:bottom w:w="28" w:type="dxa"/>
            </w:tcMar>
          </w:tcPr>
          <w:p>
            <w:pPr>
              <w:pStyle w:val="TableContents"/>
              <w:bidi w:val="0"/>
              <w:spacing w:before="0" w:after="283"/>
              <w:jc w:val="left"/>
              <w:rPr/>
            </w:pPr>
            <w:r>
              <w:rPr/>
              <w:t> </w:t>
            </w:r>
          </w:p>
        </w:tc>
      </w:tr>
      <w:tr>
        <w:trPr/>
        <w:tc>
          <w:tcPr>
            <w:tcW w:w="55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58" w:type="dxa"/>
            <w:tcBorders/>
            <w:vAlign w:val="bottom"/>
          </w:tcPr>
          <w:p>
            <w:pPr>
              <w:pStyle w:val="TableContents"/>
              <w:bidi w:val="0"/>
              <w:spacing w:before="0" w:after="283"/>
              <w:jc w:val="left"/>
              <w:rPr/>
            </w:pPr>
            <w:r>
              <w:rPr/>
              <w:t>Name:</w:t>
            </w:r>
          </w:p>
        </w:tc>
      </w:tr>
      <w:tr>
        <w:trPr/>
        <w:tc>
          <w:tcPr>
            <w:tcW w:w="55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58" w:type="dxa"/>
            <w:tcBorders/>
            <w:vAlign w:val="bottom"/>
          </w:tcPr>
          <w:p>
            <w:pPr>
              <w:pStyle w:val="TableContents"/>
              <w:bidi w:val="0"/>
              <w:spacing w:before="0" w:after="283"/>
              <w:jc w:val="left"/>
              <w:rPr/>
            </w:pPr>
            <w:r>
              <w:rPr/>
              <w:t>Title: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Dealer preferred signature page information,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[Base] [Additional] Capped Call Confirmation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and confirmed </w:t>
      </w:r>
    </w:p>
    <w:p>
      <w:pPr>
        <w:pStyle w:val="TextBody"/>
        <w:bidi w:val="0"/>
        <w:spacing w:before="0" w:after="0"/>
        <w:jc w:val="left"/>
        <w:rPr>
          <w:rFonts w:ascii="Times New Roman" w:hAnsi="Times New Roman"/>
          <w:sz w:val="20"/>
        </w:rPr>
      </w:pPr>
      <w:r>
        <w:rPr>
          <w:rFonts w:ascii="Times New Roman" w:hAnsi="Times New Roman"/>
          <w:sz w:val="20"/>
        </w:rPr>
        <w:t xml:space="preserve">as of the Trade Date: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THE MACERICH PARTNERSHIP, L.P.</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3403" w:type="dxa"/>
            <w:tcBorders>
              <w:bottom w:val="single" w:sz="2" w:space="0" w:color="000000"/>
            </w:tcBorders>
            <w:tcMar>
              <w:bottom w:w="28" w:type="dxa"/>
            </w:tcMar>
          </w:tcPr>
          <w:p>
            <w:pPr>
              <w:pStyle w:val="TableContents"/>
              <w:bidi w:val="0"/>
              <w:spacing w:before="0" w:after="283"/>
              <w:jc w:val="left"/>
              <w:rPr/>
            </w:pPr>
            <w:r>
              <w:rPr/>
              <w:t> </w:t>
            </w:r>
          </w:p>
        </w:tc>
      </w:tr>
      <w:tr>
        <w:trPr/>
        <w:tc>
          <w:tcPr>
            <w:tcW w:w="57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7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THE MACERICH COMPANY</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3403" w:type="dxa"/>
            <w:tcBorders>
              <w:bottom w:val="single" w:sz="2" w:space="0" w:color="000000"/>
            </w:tcBorders>
            <w:tcMar>
              <w:bottom w:w="28" w:type="dxa"/>
            </w:tcMar>
          </w:tcPr>
          <w:p>
            <w:pPr>
              <w:pStyle w:val="TableContents"/>
              <w:bidi w:val="0"/>
              <w:spacing w:before="0" w:after="283"/>
              <w:jc w:val="left"/>
              <w:rPr/>
            </w:pPr>
            <w:r>
              <w:rPr/>
              <w:t> </w:t>
            </w:r>
          </w:p>
        </w:tc>
      </w:tr>
      <w:tr>
        <w:trPr/>
        <w:tc>
          <w:tcPr>
            <w:tcW w:w="57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7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[Base] [Additional] Capped Call Confirmation</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9" w:name="d106117dex102.htm"/>
      <w:bookmarkStart w:id="10" w:name="ksd106117dex102"/>
      <w:bookmarkEnd w:id="9"/>
      <w:bookmarkEnd w:id="10"/>
      <w:r>
        <w:rPr>
          <w:rFonts w:ascii="Times New Roman" w:hAnsi="Times New Roman"/>
          <w:b/>
          <w:sz w:val="20"/>
        </w:rPr>
        <w:t xml:space="preserve">Exhibit 10.2 </w:t>
      </w:r>
      <w:r>
        <w:br w:type="page"/>
      </w:r>
    </w:p>
    <w:p>
      <w:pPr>
        <w:pStyle w:val="TextBody"/>
        <w:bidi w:val="0"/>
        <w:spacing w:before="12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FIRST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FIRST AMENDMENT TO SECOND AMENDED AND RESTATED CREDIT AGREEMENT</w:t>
      </w:r>
      <w:r>
        <w:rPr>
          <w:rFonts w:ascii="Times New Roman" w:hAnsi="Times New Roman"/>
          <w:sz w:val="20"/>
        </w:rPr>
        <w:t xml:space="preserve"> (this “</w:t>
      </w:r>
      <w:r>
        <w:rPr>
          <w:rFonts w:ascii="Times New Roman" w:hAnsi="Times New Roman"/>
          <w:sz w:val="20"/>
          <w:u w:val="single"/>
        </w:rPr>
        <w:t>Amendment</w:t>
      </w:r>
      <w:r>
        <w:rPr>
          <w:rFonts w:ascii="Times New Roman" w:hAnsi="Times New Roman"/>
          <w:sz w:val="20"/>
        </w:rPr>
        <w:t>”) is dated as of August 5, 2026 and is entered into by and among THE MACERICH PARTNERSHIP, L.P., a limited partnership organized under the laws of the state of Delaware, as the borrower (the “</w:t>
      </w:r>
      <w:r>
        <w:rPr>
          <w:rFonts w:ascii="Times New Roman" w:hAnsi="Times New Roman"/>
          <w:sz w:val="20"/>
          <w:u w:val="single"/>
        </w:rPr>
        <w:t>Borrower</w:t>
      </w:r>
      <w:r>
        <w:rPr>
          <w:rFonts w:ascii="Times New Roman" w:hAnsi="Times New Roman"/>
          <w:sz w:val="20"/>
        </w:rPr>
        <w:t>”), THE MACERICH COMPANY, a Maryland corporation (“</w:t>
      </w:r>
      <w:r>
        <w:rPr>
          <w:rFonts w:ascii="Times New Roman" w:hAnsi="Times New Roman"/>
          <w:sz w:val="20"/>
          <w:u w:val="single"/>
        </w:rPr>
        <w:t>MAC</w:t>
      </w:r>
      <w:r>
        <w:rPr>
          <w:rFonts w:ascii="Times New Roman" w:hAnsi="Times New Roman"/>
          <w:sz w:val="20"/>
        </w:rPr>
        <w:t>”), as a guarantor, THE SUBSIDIARY GUARANTORS SIGNATORY HERETO, THE LENDERS SIGNATORY HERETO, and DEUTSCHE BANK AG NEW YORK BRANCH, as administrative agent for the Lenders (in such capacity, the “</w:t>
      </w:r>
      <w:r>
        <w:rPr>
          <w:rFonts w:ascii="Times New Roman" w:hAnsi="Times New Roman"/>
          <w:sz w:val="20"/>
          <w:u w:val="single"/>
        </w:rPr>
        <w:t>Administrative Agent</w:t>
      </w:r>
      <w:r>
        <w:rPr>
          <w:rFonts w:ascii="Times New Roman" w:hAnsi="Times New Roman"/>
          <w:sz w:val="20"/>
        </w:rPr>
        <w:t>”), and is made with reference to that certain Second Amended and Restated Credit Agreement dated as of February 24, 2026 (as Modified prior to the date hereof, the “</w:t>
      </w:r>
      <w:r>
        <w:rPr>
          <w:rFonts w:ascii="Times New Roman" w:hAnsi="Times New Roman"/>
          <w:sz w:val="20"/>
          <w:u w:val="single"/>
        </w:rPr>
        <w:t>Original Credit Agreement</w:t>
      </w:r>
      <w:r>
        <w:rPr>
          <w:rFonts w:ascii="Times New Roman" w:hAnsi="Times New Roman"/>
          <w:sz w:val="20"/>
        </w:rPr>
        <w:t>”, and the Original Credit Agreement as Modified by this Amendment as further provided below, the “</w:t>
      </w:r>
      <w:r>
        <w:rPr>
          <w:rFonts w:ascii="Times New Roman" w:hAnsi="Times New Roman"/>
          <w:sz w:val="20"/>
          <w:u w:val="single"/>
        </w:rPr>
        <w:t>Amended Credit Agreement</w:t>
      </w:r>
      <w:r>
        <w:rPr>
          <w:rFonts w:ascii="Times New Roman" w:hAnsi="Times New Roman"/>
          <w:sz w:val="20"/>
        </w:rPr>
        <w:t xml:space="preserve">”) by and among the Borrower, MAC, the Subsidiary Guarantors from time to time party thereto, the Lenders from time to time party thereto, the Administrative Agent and the other agents named therein. Capitalized terms used herein without definition shall have the same meanings herein as set forth in the Amended Credit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Borrower has requested that the Administrative Agent and the Lenders agree to Modify the Original Credit Agreement as provided for herein;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subject to certain conditions set forth below, the Administrative Agent and the Lenders party hereto (which constitute the Required Lenders (as defined in the Original Credit Agreement)) are willing to agree to such Modifications relating to the Original Credit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agreements, provisions and covenants herein contained, the parties hereto agree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SECTION I. AMENDMENTS TO THE ORIGINAL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Effective upon the First Amendment Effective Date (as defined below), the Original Credit Agreement (excluding the Schedules and Exhibits thereto, which shall remain unchanged by this Amendment) is hereby Modified to delete the stricken text (indicated textually in the same as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in the pages attached as </w:t>
      </w:r>
      <w:r>
        <w:rPr>
          <w:rFonts w:ascii="Times New Roman" w:hAnsi="Times New Roman"/>
          <w:sz w:val="20"/>
          <w:u w:val="single"/>
        </w:rPr>
        <w:t>Annex A</w:t>
      </w:r>
      <w:r>
        <w:rPr>
          <w:rFonts w:ascii="Times New Roman" w:hAnsi="Times New Roman"/>
          <w:sz w:val="20"/>
        </w:rPr>
        <w:t xml:space="preserve">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II. CONDITIONS TO EFFECTIVENESS </w:t>
      </w:r>
    </w:p>
    <w:p>
      <w:pPr>
        <w:pStyle w:val="TextBody"/>
        <w:bidi w:val="0"/>
        <w:spacing w:before="240" w:after="0"/>
        <w:jc w:val="left"/>
        <w:rPr>
          <w:rFonts w:ascii="Times New Roman" w:hAnsi="Times New Roman"/>
          <w:sz w:val="20"/>
        </w:rPr>
      </w:pPr>
      <w:r>
        <w:rPr>
          <w:rFonts w:ascii="Times New Roman" w:hAnsi="Times New Roman"/>
          <w:sz w:val="20"/>
        </w:rPr>
        <w:t>This Amendment shall become effective as of the date hereof only upon the satisfaction (or waiver by the Required Lenders) of all of the following conditions precedent (the date of satisfaction (or waiver) of such conditions being referred to herein as the “</w:t>
      </w:r>
      <w:r>
        <w:rPr>
          <w:rFonts w:ascii="Times New Roman" w:hAnsi="Times New Roman"/>
          <w:sz w:val="20"/>
          <w:u w:val="single"/>
        </w:rPr>
        <w:t>First Amendment 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 Execution of Amendment</w:t>
      </w:r>
      <w:r>
        <w:rPr>
          <w:rFonts w:ascii="Times New Roman" w:hAnsi="Times New Roman"/>
          <w:sz w:val="20"/>
        </w:rPr>
        <w:t xml:space="preserve">. The Administrative Agent shall have received counterpart signature pages of this Amendment duly executed by each of the Borrower Parties and each of the Required Lenders. </w:t>
      </w:r>
    </w:p>
    <w:p>
      <w:pPr>
        <w:pStyle w:val="TextBody"/>
        <w:bidi w:val="0"/>
        <w:spacing w:before="240" w:after="0"/>
        <w:jc w:val="left"/>
        <w:rPr>
          <w:rFonts w:ascii="Times New Roman" w:hAnsi="Times New Roman"/>
          <w:sz w:val="20"/>
        </w:rPr>
      </w:pPr>
      <w:r>
        <w:rPr>
          <w:rFonts w:ascii="Times New Roman" w:hAnsi="Times New Roman"/>
          <w:b/>
          <w:sz w:val="20"/>
        </w:rPr>
        <w:t>B. No Event of Default or Potential Event of Default</w:t>
      </w:r>
      <w:r>
        <w:rPr>
          <w:rFonts w:ascii="Times New Roman" w:hAnsi="Times New Roman"/>
          <w:sz w:val="20"/>
        </w:rPr>
        <w:t xml:space="preserve">. As of the First Amendment Effective Date, both immediately before and immediately after giving effect to this Amendment, no Event of Default or Potential Default shall have occurred and be continuing. </w:t>
      </w:r>
    </w:p>
    <w:p>
      <w:pPr>
        <w:pStyle w:val="TextBody"/>
        <w:bidi w:val="0"/>
        <w:spacing w:before="240" w:after="0"/>
        <w:jc w:val="left"/>
        <w:rPr>
          <w:rFonts w:ascii="Times New Roman" w:hAnsi="Times New Roman"/>
          <w:sz w:val="20"/>
        </w:rPr>
      </w:pPr>
      <w:r>
        <w:rPr>
          <w:rFonts w:ascii="Times New Roman" w:hAnsi="Times New Roman"/>
          <w:b/>
          <w:sz w:val="20"/>
        </w:rPr>
        <w:t>C. Expenses</w:t>
      </w:r>
      <w:r>
        <w:rPr>
          <w:rFonts w:ascii="Times New Roman" w:hAnsi="Times New Roman"/>
          <w:sz w:val="20"/>
        </w:rPr>
        <w:t xml:space="preserve">. To the extent invoiced at least three (3) Business Days prior to the First Amendment Effective Date, the Administrative Agent shall have received reimbursement or other payment of all out-of-pocket expenses required to be reimbursed or paid by the Borrower hereunder or any other Loan Document.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III. REPRESENTATIONS, WARRANTIES, AND COVENANTS </w:t>
      </w:r>
    </w:p>
    <w:p>
      <w:pPr>
        <w:pStyle w:val="TextBody"/>
        <w:bidi w:val="0"/>
        <w:spacing w:before="240" w:after="0"/>
        <w:jc w:val="left"/>
        <w:rPr>
          <w:rFonts w:ascii="Times New Roman" w:hAnsi="Times New Roman"/>
          <w:sz w:val="20"/>
        </w:rPr>
      </w:pPr>
      <w:r>
        <w:rPr>
          <w:rFonts w:ascii="Times New Roman" w:hAnsi="Times New Roman"/>
          <w:sz w:val="20"/>
        </w:rPr>
        <w:t xml:space="preserve">In order to induce Administrative Agent and the Lenders to enter into this Amendment and to Modify the Original Credit Agreement in the manner provided herein, each Borrower Party hereby represents and warrants as of the First Amendment Effective Date as follows: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Such Borrower Party has all requisite partnership, limited liability company, corporate or other legal entity power and authority to execute and deliver this Amendment and to perform the Amended Credit Agreement and the other Loan Documents to which it is a party. Such execution, delivery and performance, as applicable, and the consummation of the transactions contemplated by the Loan Documents are within their partnership, limited liability company or corporate powers, as applicable, and have been duly authorized by all necessary partnership, limited liability company corporate or other legal entity action, as applicable, which such authorization has not been rescinded.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This Amendment has been duly executed and delivered by such Borrower Party and constitutes a legal, valid and binding obligation of such Borrower Party, enforceable against such Borrower Party in accordance with its terms (subject to bankruptcy, insolvency, reorganization, or other laws affecting creditors’ rights generally and to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Event of Default or Potential Default has occurred and is continuing.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representations and warranties of the Borrower Parties contained in the Amended Credit Agreement and the other Loan Documents are true and correct in all material respects (except for changes in factual circumstances not prohibited under the Loan Documents and, except further that, in the event any exception or disclosure schedule provided to Administrative Agent in connection with such representations and warranties is proposed by Borrower to be updated, any such updates (other than to reflect changes in factual circumstances not prohibited under the Loan Documents) shall be non-material and shall be approved by the Administrative Agent in its good faith judgment in accordance with Section 5.2(1) of the Original Credit Agreement or in connection with this Amendment) on and as of the date hereof to the same extent as though made on and as of the date hereof (or, if any such representation or warranty is expressly stated to have been made as of a specific date, as of such specific date); provided that any representation or warranty that is qualified as to materiality or Material Adverse Effect or similar language shall be true and correct in all respects subject to such qualifiers.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IV. ACKNOWLEDGMENT AND CONSENT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induce the Administrative Agent and the Lenders party hereto to enter into this Amendment, each Guarantor hereby: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acknowledges that it has reviewed the terms and provisions of this Amendment and the Amended Credit Agreement, and consents to all the terms and conditions set forth in this Amendment and the Amended Credit Agreement. Each Guarantor hereby confirms that each Loan Document to which it is a party or otherwise bound and all Collateral encumbered thereby will continue to guarantee or secure, as the case may be, to the fullest extent possible in accordance with the Loan Documents the payment and performance of all “Obligations” under each of the Loan Documents to which is a party;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acknowledges and agrees that any of the Loan Documents to which it is a party or otherwise bound shall continue in full force and effect and that all of its obligations thereunder shall be valid and enforceable and shall not be impaired or limited by the execution or effectiveness of this Amendment; and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acknowledges and agrees that (x) notwithstanding the conditions to effectiveness set forth in this Amendment, such Guarantor is not required by the terms of the Original Credit Agreement, the Amended Credit Agreement or any other Loan Document to consent to the Modifications to or waivers of the Original Credit Agreement effected pursuant to this Amendment and (y) nothing in the Original Credit Agreement, the Amended Credit Agreement or any other Loan Document shall be deemed to require the consent of such Guarantor to any future Modifications or waivers with respect to the Original Credit Agreement or the Amended Credit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V. MISCELLANEOUS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b/>
          <w:sz w:val="20"/>
          <w:u w:val="single"/>
        </w:rPr>
        <w:t>Reference to and Effect on the Original Credit Agreement and the Other Loan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On and after the First Amendment Effective Date, each reference in the Original Credit Agreement to “this Agreement”, the “Credit Agreement”, “hereunder”, “hereof”, “herein” or words of like import referring to the Original Credit Agreement, and each reference in the other Loan Documents to the “Credit Agreement”, “thereunder”, “thereof” or words of like import referring to the Original Credit Agreement shall mean and be a reference to the Amended Credit Agreement (including any Modifications prior to the date hereof and Modifications effected through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(ii) The Original Credit Agreement and the other Loan Documents are amended by this Amendment. Except as specifically amended by this Amendment, the Original Credit Agreement and the other Loan Documents shall remain in full force and effect and are hereby ratified and confirmed.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execution, delivery and performance of this Amendment shall not constitute a waiver of any provision of, or operate as a waiver of any right, power or remedy of any Agent or Lender under, the Original Credit Agreement, the Amended Credit Agreement or any of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(iv) This Amendment constitutes a Loan Document.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b/>
          <w:sz w:val="20"/>
          <w:u w:val="single"/>
        </w:rPr>
        <w:t>Headings</w:t>
      </w:r>
      <w:r>
        <w:rPr>
          <w:rFonts w:ascii="Times New Roman" w:hAnsi="Times New Roman"/>
          <w:b/>
          <w:sz w:val="20"/>
        </w:rPr>
        <w:t>.</w:t>
      </w:r>
      <w:r>
        <w:rPr>
          <w:rFonts w:ascii="Times New Roman" w:hAnsi="Times New Roman"/>
          <w:sz w:val="20"/>
        </w:rPr>
        <w:t xml:space="preserve"> Section and Subsection headings in this Amendment are included herein for convenience of reference only and shall not constitute a part of this Amendment for any other purpose or be given any substantive effect.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b/>
          <w:sz w:val="20"/>
          <w:u w:val="single"/>
        </w:rPr>
        <w:t>Applicable Law</w:t>
      </w:r>
      <w:r>
        <w:rPr>
          <w:rFonts w:ascii="Times New Roman" w:hAnsi="Times New Roman"/>
          <w:b/>
          <w:sz w:val="20"/>
        </w:rPr>
        <w:t>.</w:t>
      </w:r>
      <w:r>
        <w:rPr>
          <w:rFonts w:ascii="Times New Roman" w:hAnsi="Times New Roman"/>
          <w:sz w:val="20"/>
        </w:rPr>
        <w:t xml:space="preserve"> The governing law, consent to jurisdiction and waiver of jury trial provisions stated in the Original Credit Agreement are incorporated herein by this reference, and this Amendment shall be construed and enforced in accordance therewith.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b/>
          <w:sz w:val="20"/>
          <w:u w:val="single"/>
        </w:rPr>
        <w:t>Counterparts</w:t>
      </w:r>
      <w:r>
        <w:rPr>
          <w:rFonts w:ascii="Times New Roman" w:hAnsi="Times New Roman"/>
          <w:b/>
          <w:sz w:val="20"/>
        </w:rPr>
        <w:t>.</w:t>
      </w:r>
      <w:r>
        <w:rPr>
          <w:rFonts w:ascii="Times New Roman" w:hAnsi="Times New Roman"/>
          <w:sz w:val="20"/>
        </w:rPr>
        <w:t xml:space="preserve">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(i.e., “pdf” or “tif”) format shall be effective as delivery of a manually executed 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b/>
          <w:sz w:val="20"/>
          <w:u w:val="single"/>
        </w:rPr>
        <w:t>Beneficiaries</w:t>
      </w:r>
      <w:r>
        <w:rPr>
          <w:rFonts w:ascii="Times New Roman" w:hAnsi="Times New Roman"/>
          <w:sz w:val="20"/>
        </w:rPr>
        <w:t xml:space="preserve">. This Amendment is made and entered into solely for the benefit of the Administrative Agent, the Lenders and the other parties hereto, and no other Person shall be a direct or indirect legal beneficiary of, or have any direct or indirect cause of action or claim in connection with, this Amendment.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have caused this Amendment to be duly executed and delivered by their respective officers thereunto duly authorized as of the date first written above. </w:t>
      </w:r>
    </w:p>
    <w:p>
      <w:pPr>
        <w:pStyle w:val="TextBody"/>
        <w:bidi w:val="0"/>
        <w:spacing w:before="240" w:after="0"/>
        <w:jc w:val="left"/>
        <w:rPr>
          <w:rFonts w:ascii="Times New Roman" w:hAnsi="Times New Roman"/>
          <w:b/>
          <w:sz w:val="20"/>
        </w:rPr>
      </w:pPr>
      <w:r>
        <w:rPr>
          <w:rFonts w:ascii="Times New Roman" w:hAnsi="Times New Roman"/>
          <w:b/>
          <w:sz w:val="20"/>
        </w:rPr>
        <w:t xml:space="preserve">BORROWER: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1"/>
        <w:gridCol w:w="60"/>
        <w:gridCol w:w="3361"/>
      </w:tblGrid>
      <w:tr>
        <w:trPr/>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THE MACERICH PARTNERSHIP, L.P.,</w:t>
            </w:r>
          </w:p>
          <w:p>
            <w:pPr>
              <w:pStyle w:val="TableContents"/>
              <w:bidi w:val="0"/>
              <w:spacing w:before="0" w:after="20"/>
              <w:jc w:val="left"/>
              <w:rPr>
                <w:rFonts w:ascii="Times New Roman" w:hAnsi="Times New Roman"/>
                <w:sz w:val="20"/>
              </w:rPr>
            </w:pPr>
            <w:r>
              <w:rPr>
                <w:rFonts w:ascii="Times New Roman" w:hAnsi="Times New Roman"/>
                <w:sz w:val="20"/>
              </w:rPr>
              <w:t>a Delaware limited partnership</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The Macerich Company, a Maryland corporation, its general partner</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1"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Howard Garfield</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Senior Vice President, Finance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MAC: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THE MACERICH COMPANY,</w:t>
            </w:r>
          </w:p>
          <w:p>
            <w:pPr>
              <w:pStyle w:val="TableContents"/>
              <w:bidi w:val="0"/>
              <w:spacing w:before="0" w:after="20"/>
              <w:jc w:val="left"/>
              <w:rPr>
                <w:rFonts w:ascii="Times New Roman" w:hAnsi="Times New Roman"/>
                <w:sz w:val="20"/>
              </w:rPr>
            </w:pPr>
            <w:r>
              <w:rPr>
                <w:rFonts w:ascii="Times New Roman" w:hAnsi="Times New Roman"/>
                <w:sz w:val="20"/>
              </w:rPr>
              <w:t>a Maryland corporation</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SUBSIDIARY GUARANTORS: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6"/>
        <w:gridCol w:w="60"/>
        <w:gridCol w:w="3406"/>
      </w:tblGrid>
      <w:tr>
        <w:trPr/>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Desert Sky Mall LLC</w:t>
            </w:r>
          </w:p>
          <w:p>
            <w:pPr>
              <w:pStyle w:val="TableContents"/>
              <w:bidi w:val="0"/>
              <w:spacing w:before="0" w:after="20"/>
              <w:jc w:val="left"/>
              <w:rPr>
                <w:rFonts w:ascii="Times New Roman" w:hAnsi="Times New Roman"/>
                <w:b/>
                <w:sz w:val="20"/>
              </w:rPr>
            </w:pPr>
            <w:r>
              <w:rPr>
                <w:rFonts w:ascii="Times New Roman" w:hAnsi="Times New Roman"/>
                <w:b/>
                <w:sz w:val="20"/>
              </w:rPr>
              <w:t>East Mesa Mall L.L.C.</w:t>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La Cumbre Adjacent Parcel GP LLC</w:t>
            </w:r>
          </w:p>
          <w:p>
            <w:pPr>
              <w:pStyle w:val="TableContents"/>
              <w:bidi w:val="0"/>
              <w:spacing w:before="0" w:after="0"/>
              <w:jc w:val="left"/>
              <w:rPr>
                <w:rFonts w:ascii="Times New Roman" w:hAnsi="Times New Roman"/>
                <w:b/>
                <w:sz w:val="20"/>
              </w:rPr>
            </w:pPr>
            <w:r>
              <w:rPr>
                <w:rFonts w:ascii="Times New Roman" w:hAnsi="Times New Roman"/>
                <w:b/>
                <w:sz w:val="20"/>
              </w:rPr>
              <w:t>Macerich Desert Sky Mall Holdings LLC</w:t>
            </w:r>
          </w:p>
          <w:p>
            <w:pPr>
              <w:pStyle w:val="TableContents"/>
              <w:bidi w:val="0"/>
              <w:spacing w:before="0" w:after="20"/>
              <w:jc w:val="left"/>
              <w:rPr>
                <w:rFonts w:ascii="Times New Roman" w:hAnsi="Times New Roman"/>
                <w:b/>
                <w:sz w:val="20"/>
              </w:rPr>
            </w:pPr>
            <w:r>
              <w:rPr>
                <w:rFonts w:ascii="Times New Roman" w:hAnsi="Times New Roman"/>
                <w:b/>
                <w:sz w:val="20"/>
              </w:rPr>
              <w:t>Macerich Fresno Adjacent GP Corp.</w:t>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Macerich Holdings LLC</w:t>
            </w:r>
          </w:p>
          <w:p>
            <w:pPr>
              <w:pStyle w:val="TableContents"/>
              <w:bidi w:val="0"/>
              <w:spacing w:before="0" w:after="0"/>
              <w:jc w:val="left"/>
              <w:rPr>
                <w:rFonts w:ascii="Times New Roman" w:hAnsi="Times New Roman"/>
                <w:b/>
                <w:sz w:val="20"/>
              </w:rPr>
            </w:pPr>
            <w:r>
              <w:rPr>
                <w:rFonts w:ascii="Times New Roman" w:hAnsi="Times New Roman"/>
                <w:b/>
                <w:sz w:val="20"/>
              </w:rPr>
              <w:t>Macerich La Cumbre GP LLC</w:t>
            </w:r>
          </w:p>
          <w:p>
            <w:pPr>
              <w:pStyle w:val="TableContents"/>
              <w:bidi w:val="0"/>
              <w:spacing w:before="0" w:after="0"/>
              <w:jc w:val="left"/>
              <w:rPr>
                <w:rFonts w:ascii="Times New Roman" w:hAnsi="Times New Roman"/>
                <w:b/>
                <w:sz w:val="20"/>
              </w:rPr>
            </w:pPr>
            <w:r>
              <w:rPr>
                <w:rFonts w:ascii="Times New Roman" w:hAnsi="Times New Roman"/>
                <w:b/>
                <w:sz w:val="20"/>
              </w:rPr>
              <w:t>Macerich Management Company</w:t>
            </w:r>
          </w:p>
          <w:p>
            <w:pPr>
              <w:pStyle w:val="TableContents"/>
              <w:bidi w:val="0"/>
              <w:spacing w:before="0" w:after="20"/>
              <w:jc w:val="left"/>
              <w:rPr>
                <w:rFonts w:ascii="Times New Roman" w:hAnsi="Times New Roman"/>
                <w:b/>
                <w:sz w:val="20"/>
              </w:rPr>
            </w:pPr>
            <w:r>
              <w:rPr>
                <w:rFonts w:ascii="Times New Roman" w:hAnsi="Times New Roman"/>
                <w:b/>
                <w:sz w:val="20"/>
              </w:rPr>
              <w:t>Macerich North Park Mall LLC</w:t>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Macerich SanTan Estrella Holdings Pledgor LLC</w:t>
            </w:r>
          </w:p>
          <w:p>
            <w:pPr>
              <w:pStyle w:val="TableContents"/>
              <w:bidi w:val="0"/>
              <w:spacing w:before="0" w:after="20"/>
              <w:jc w:val="left"/>
              <w:rPr>
                <w:rFonts w:ascii="Times New Roman" w:hAnsi="Times New Roman"/>
                <w:b/>
                <w:sz w:val="20"/>
              </w:rPr>
            </w:pPr>
            <w:r>
              <w:rPr>
                <w:rFonts w:ascii="Times New Roman" w:hAnsi="Times New Roman"/>
                <w:b/>
                <w:sz w:val="20"/>
              </w:rPr>
              <w:t>Macerich Stonewood Holdings LLC</w:t>
            </w:r>
          </w:p>
        </w:tc>
      </w:tr>
      <w:tr>
        <w:trPr/>
        <w:tc>
          <w:tcPr>
            <w:tcW w:w="4082" w:type="dxa"/>
            <w:gridSpan w:val="3"/>
            <w:tcBorders/>
          </w:tcPr>
          <w:p>
            <w:pPr>
              <w:pStyle w:val="TableContents"/>
              <w:bidi w:val="0"/>
              <w:spacing w:before="0" w:after="283"/>
              <w:jc w:val="left"/>
              <w:rPr>
                <w:b/>
              </w:rPr>
            </w:pPr>
            <w:r>
              <w:rPr>
                <w:b/>
              </w:rPr>
              <w:t>Macerich Stonewood, LLC</w:t>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Macerich Superstition Mall Holdings LLC</w:t>
            </w:r>
          </w:p>
          <w:p>
            <w:pPr>
              <w:pStyle w:val="TableContents"/>
              <w:bidi w:val="0"/>
              <w:spacing w:before="0" w:after="0"/>
              <w:jc w:val="left"/>
              <w:rPr>
                <w:rFonts w:ascii="Times New Roman" w:hAnsi="Times New Roman"/>
                <w:b/>
                <w:sz w:val="20"/>
              </w:rPr>
            </w:pPr>
            <w:r>
              <w:rPr>
                <w:rFonts w:ascii="Times New Roman" w:hAnsi="Times New Roman"/>
                <w:b/>
                <w:sz w:val="20"/>
              </w:rPr>
              <w:t>Macerich Valley River Center LLC</w:t>
            </w:r>
          </w:p>
          <w:p>
            <w:pPr>
              <w:pStyle w:val="TableContents"/>
              <w:bidi w:val="0"/>
              <w:spacing w:before="0" w:after="0"/>
              <w:jc w:val="left"/>
              <w:rPr>
                <w:rFonts w:ascii="Times New Roman" w:hAnsi="Times New Roman"/>
                <w:b/>
                <w:sz w:val="20"/>
              </w:rPr>
            </w:pPr>
            <w:r>
              <w:rPr>
                <w:rFonts w:ascii="Times New Roman" w:hAnsi="Times New Roman"/>
                <w:b/>
                <w:sz w:val="20"/>
              </w:rPr>
              <w:t>Macerich Whittwood Holdings GP Corp.</w:t>
            </w:r>
          </w:p>
          <w:p>
            <w:pPr>
              <w:pStyle w:val="TableContents"/>
              <w:bidi w:val="0"/>
              <w:spacing w:before="0" w:after="20"/>
              <w:jc w:val="left"/>
              <w:rPr>
                <w:rFonts w:ascii="Times New Roman" w:hAnsi="Times New Roman"/>
                <w:b/>
                <w:sz w:val="20"/>
              </w:rPr>
            </w:pPr>
            <w:r>
              <w:rPr>
                <w:rFonts w:ascii="Times New Roman" w:hAnsi="Times New Roman"/>
                <w:b/>
                <w:sz w:val="20"/>
              </w:rPr>
              <w:t>MVRC Holding LLC</w:t>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SM Eastland Mall, LLC</w:t>
            </w:r>
          </w:p>
          <w:p>
            <w:pPr>
              <w:pStyle w:val="TableContents"/>
              <w:bidi w:val="0"/>
              <w:spacing w:before="0" w:after="20"/>
              <w:jc w:val="left"/>
              <w:rPr>
                <w:rFonts w:ascii="Times New Roman" w:hAnsi="Times New Roman"/>
                <w:b/>
                <w:sz w:val="20"/>
              </w:rPr>
            </w:pPr>
            <w:r>
              <w:rPr>
                <w:rFonts w:ascii="Times New Roman" w:hAnsi="Times New Roman"/>
                <w:b/>
                <w:sz w:val="20"/>
              </w:rPr>
              <w:t>TWC Scottsdale Corp.</w:t>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Westcor Realty Limited Partnership</w:t>
            </w:r>
          </w:p>
          <w:p>
            <w:pPr>
              <w:pStyle w:val="TableContents"/>
              <w:bidi w:val="0"/>
              <w:spacing w:before="0" w:after="20"/>
              <w:jc w:val="left"/>
              <w:rPr>
                <w:rFonts w:ascii="Times New Roman" w:hAnsi="Times New Roman"/>
                <w:b/>
                <w:sz w:val="20"/>
              </w:rPr>
            </w:pPr>
            <w:r>
              <w:rPr>
                <w:rFonts w:ascii="Times New Roman" w:hAnsi="Times New Roman"/>
                <w:b/>
                <w:sz w:val="20"/>
              </w:rPr>
              <w:t>WM Inland Investors IV GP LLC</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1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283"/>
              <w:jc w:val="left"/>
              <w:rPr/>
            </w:pPr>
            <w:r>
              <w:rPr/>
              <w:t>Howard Garfield</w:t>
            </w:r>
          </w:p>
        </w:tc>
      </w:tr>
      <w:tr>
        <w:trPr/>
        <w:tc>
          <w:tcPr>
            <w:tcW w:w="61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283"/>
              <w:jc w:val="left"/>
              <w:rPr/>
            </w:pPr>
            <w:r>
              <w:rPr/>
              <w:t>Senior Vice President, Finance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La Cumbre Adjacent Parcel LP</w:t>
            </w:r>
          </w:p>
          <w:p>
            <w:pPr>
              <w:pStyle w:val="TableContents"/>
              <w:bidi w:val="0"/>
              <w:spacing w:before="0" w:after="20"/>
              <w:jc w:val="left"/>
              <w:rPr>
                <w:rFonts w:ascii="Times New Roman" w:hAnsi="Times New Roman"/>
                <w:b/>
                <w:sz w:val="20"/>
              </w:rPr>
            </w:pPr>
            <w:r>
              <w:rPr>
                <w:rFonts w:ascii="Times New Roman" w:hAnsi="Times New Roman"/>
                <w:b/>
                <w:sz w:val="20"/>
              </w:rPr>
              <w:t>La Cumbre Adjacent Parcel SPE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La Cumbre Adjacent Parcel GP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1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283"/>
              <w:jc w:val="left"/>
              <w:rPr/>
            </w:pPr>
            <w:r>
              <w:rPr/>
              <w:t>Howard Garfield</w:t>
            </w:r>
          </w:p>
        </w:tc>
      </w:tr>
      <w:tr>
        <w:trPr/>
        <w:tc>
          <w:tcPr>
            <w:tcW w:w="61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283"/>
              <w:jc w:val="left"/>
              <w:rPr/>
            </w:pPr>
            <w:r>
              <w:rPr/>
              <w:t>Senior Vice President, Finance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Macerich Fresno Adjacent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Macerich Fresno Adjacent GP Corp.,</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Macerich La Cumbre LP</w:t>
            </w:r>
          </w:p>
          <w:p>
            <w:pPr>
              <w:pStyle w:val="TableContents"/>
              <w:bidi w:val="0"/>
              <w:spacing w:before="0" w:after="20"/>
              <w:jc w:val="left"/>
              <w:rPr>
                <w:rFonts w:ascii="Times New Roman" w:hAnsi="Times New Roman"/>
                <w:b/>
                <w:sz w:val="20"/>
              </w:rPr>
            </w:pPr>
            <w:r>
              <w:rPr>
                <w:rFonts w:ascii="Times New Roman" w:hAnsi="Times New Roman"/>
                <w:b/>
                <w:sz w:val="20"/>
              </w:rPr>
              <w:t>Macerich La Cumbre SPE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Macerich La Cumbre GP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Macerich Whittwood Holdings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Macerich Whittwood Holdings GP Corp.,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Queens JV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Queens JV GP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WM Inland Investors IV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WM Inland Investors IV GP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WM Inland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Macerich Inland GP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Macerich Lubbock Limited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Macerich Lubbock GP Corp.,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Westcor Company Limited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Westcor Realty Limited Partnership,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Howard Garfield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Finance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2"/>
        <w:gridCol w:w="60"/>
        <w:gridCol w:w="3620"/>
      </w:tblGrid>
      <w:tr>
        <w:trPr/>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Westcor Company II Limited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Macerich TWC II Corp., its general partner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Howard Garfield</w:t>
            </w:r>
          </w:p>
        </w:tc>
      </w:tr>
      <w:tr>
        <w:trPr/>
        <w:tc>
          <w:tcPr>
            <w:tcW w:w="4082" w:type="dxa"/>
            <w:gridSpan w:val="3"/>
            <w:tcBorders/>
          </w:tcPr>
          <w:p>
            <w:pPr>
              <w:pStyle w:val="TableContents"/>
              <w:bidi w:val="0"/>
              <w:spacing w:before="0" w:after="283"/>
              <w:jc w:val="left"/>
              <w:rPr/>
            </w:pPr>
            <w:r>
              <w:rPr/>
              <w:t>Name: Howard Garfield</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Senior Vice President, Finance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ADMINISTRATIVE AGENT </w:t>
      </w:r>
    </w:p>
    <w:p>
      <w:pPr>
        <w:pStyle w:val="TextBody"/>
        <w:bidi w:val="0"/>
        <w:spacing w:before="0" w:after="0"/>
        <w:jc w:val="left"/>
        <w:rPr>
          <w:rFonts w:ascii="Times New Roman" w:hAnsi="Times New Roman"/>
          <w:b/>
          <w:sz w:val="20"/>
        </w:rPr>
      </w:pPr>
      <w:r>
        <w:rPr>
          <w:rFonts w:ascii="Times New Roman" w:hAnsi="Times New Roman"/>
          <w:b/>
          <w:sz w:val="20"/>
        </w:rPr>
        <w:t xml:space="preserve">AND LENDERS: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DEUTSCHE BANK AG NEW YORK BRANCH</w:t>
            </w:r>
            <w:r>
              <w:rPr/>
              <w:t>,</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Stephen H Choe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Stephen H Choe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Peter Castro</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Peter Castro</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DEUTSCHE BANK AG NEW YORK BRANCH</w:t>
            </w:r>
            <w:r>
              <w:rPr/>
              <w:t>,</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 </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 </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ADMINISTRATIVE AGENT </w:t>
      </w:r>
    </w:p>
    <w:p>
      <w:pPr>
        <w:pStyle w:val="TextBody"/>
        <w:bidi w:val="0"/>
        <w:spacing w:before="0" w:after="0"/>
        <w:jc w:val="left"/>
        <w:rPr>
          <w:rFonts w:ascii="Times New Roman" w:hAnsi="Times New Roman"/>
          <w:b/>
          <w:sz w:val="20"/>
        </w:rPr>
      </w:pPr>
      <w:r>
        <w:rPr>
          <w:rFonts w:ascii="Times New Roman" w:hAnsi="Times New Roman"/>
          <w:b/>
          <w:sz w:val="20"/>
        </w:rPr>
        <w:t xml:space="preserve">AND LENDERS: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DEUTSCHE BANK AG NEW YORK BRANCH</w:t>
            </w:r>
            <w:r>
              <w:rPr/>
              <w:t>,</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 </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 </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DEUTSCHE BANK AG NEW YORK BRANCH</w:t>
            </w:r>
            <w:r>
              <w:rPr/>
              <w:t>,</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Kelvyn Correa</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Kelvyn Correa</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Director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Alison Lugo</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Alison Lugo</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JPMORGAN CHASE BANK, N.A., </w:t>
            </w:r>
            <w:r>
              <w:rPr/>
              <w:t>as Lender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Cody A. Canafax</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Cody A. Canafax</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Executive Director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GOLDMAN SACHS BANK USA</w:t>
            </w:r>
            <w:r>
              <w:rPr/>
              <w:t>, as a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Elizabeth Tosin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Elizabeth Tosin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0"/>
        <w:gridCol w:w="3350"/>
      </w:tblGrid>
      <w:tr>
        <w:trPr/>
        <w:tc>
          <w:tcPr>
            <w:tcW w:w="6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BMO BANK N.A.,</w:t>
            </w:r>
            <w:r>
              <w:rPr/>
              <w:t xml:space="preserve"> as a Lender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0" w:type="dxa"/>
            <w:tcBorders>
              <w:bottom w:val="single" w:sz="2" w:space="0" w:color="000000"/>
            </w:tcBorders>
            <w:tcMar>
              <w:bottom w:w="28" w:type="dxa"/>
            </w:tcMar>
          </w:tcPr>
          <w:p>
            <w:pPr>
              <w:pStyle w:val="TableContents"/>
              <w:bidi w:val="0"/>
              <w:spacing w:before="0" w:after="283"/>
              <w:jc w:val="left"/>
              <w:rPr/>
            </w:pPr>
            <w:r>
              <w:rPr/>
              <w:t>/s/ Stephanie Beggs</w:t>
            </w:r>
          </w:p>
        </w:tc>
      </w:tr>
      <w:tr>
        <w:trPr/>
        <w:tc>
          <w:tcPr>
            <w:tcW w:w="67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0"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Stephanie Beggs</w:t>
            </w:r>
          </w:p>
        </w:tc>
      </w:tr>
      <w:tr>
        <w:trPr/>
        <w:tc>
          <w:tcPr>
            <w:tcW w:w="67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0"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TORONTO-DOMINION BANK, NEW YORK BRANCH,</w:t>
            </w:r>
            <w:r>
              <w:rPr/>
              <w:t xml:space="preserve"> as a Lender</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9" w:type="dxa"/>
            <w:tcBorders>
              <w:bottom w:val="single" w:sz="2" w:space="0" w:color="000000"/>
            </w:tcBorders>
            <w:tcMar>
              <w:bottom w:w="28" w:type="dxa"/>
            </w:tcMar>
          </w:tcPr>
          <w:p>
            <w:pPr>
              <w:pStyle w:val="TableContents"/>
              <w:bidi w:val="0"/>
              <w:spacing w:before="0" w:after="283"/>
              <w:jc w:val="left"/>
              <w:rPr/>
            </w:pPr>
            <w:r>
              <w:rPr/>
              <w:t>/s/ Victoria Roberts</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Victoria Roberts</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4"/>
        <w:gridCol w:w="60"/>
        <w:gridCol w:w="3718"/>
      </w:tblGrid>
      <w:tr>
        <w:trPr/>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MORGAN STANLEY SENIOR FUNDING, INC.,</w:t>
            </w:r>
            <w:r>
              <w:rPr/>
              <w:t xml:space="preserve"> as a Lender</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8" w:type="dxa"/>
            <w:tcBorders>
              <w:bottom w:val="single" w:sz="2" w:space="0" w:color="000000"/>
            </w:tcBorders>
            <w:tcMar>
              <w:bottom w:w="28" w:type="dxa"/>
            </w:tcMar>
          </w:tcPr>
          <w:p>
            <w:pPr>
              <w:pStyle w:val="TableContents"/>
              <w:bidi w:val="0"/>
              <w:spacing w:before="0" w:after="283"/>
              <w:jc w:val="left"/>
              <w:rPr/>
            </w:pPr>
            <w:r>
              <w:rPr/>
              <w:t>/s/ Gretell Merlo</w:t>
            </w:r>
          </w:p>
        </w:tc>
      </w:tr>
      <w:tr>
        <w:trPr/>
        <w:tc>
          <w:tcPr>
            <w:tcW w:w="4082" w:type="dxa"/>
            <w:gridSpan w:val="3"/>
            <w:tcBorders/>
          </w:tcPr>
          <w:p>
            <w:pPr>
              <w:pStyle w:val="TableContents"/>
              <w:bidi w:val="0"/>
              <w:spacing w:before="0" w:after="283"/>
              <w:jc w:val="left"/>
              <w:rPr/>
            </w:pPr>
            <w:r>
              <w:rPr/>
              <w:t>Name: Gretell Merlo</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BANK OF NOVA SCOTIA</w:t>
            </w:r>
            <w:r>
              <w:rPr/>
              <w:t>, as a Lender</w:t>
            </w:r>
          </w:p>
        </w:tc>
      </w:tr>
      <w:tr>
        <w:trPr>
          <w:trHeight w:val="240" w:hRule="atLeast"/>
        </w:trPr>
        <w:tc>
          <w:tcPr>
            <w:tcW w:w="656" w:type="dxa"/>
            <w:tcBorders/>
            <w:vAlign w:val="center"/>
          </w:tcPr>
          <w:p>
            <w:pPr>
              <w:pStyle w:val="TableContents"/>
              <w:bidi w:val="0"/>
              <w:spacing w:before="0" w:after="283"/>
              <w:jc w:val="left"/>
              <w:rPr>
                <w:sz w:val="4"/>
                <w:szCs w:val="4"/>
              </w:rPr>
            </w:pPr>
            <w:r>
              <w:rPr>
                <w:sz w:val="4"/>
                <w:szCs w:val="4"/>
              </w:rPr>
            </w:r>
          </w:p>
        </w:tc>
        <w:tc>
          <w:tcPr>
            <w:tcW w:w="3426" w:type="dxa"/>
            <w:gridSpan w:val="2"/>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Vijay Kant</w:t>
            </w:r>
          </w:p>
        </w:tc>
      </w:tr>
      <w:tr>
        <w:trPr/>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Vijay Kant</w:t>
            </w:r>
          </w:p>
        </w:tc>
      </w:tr>
      <w:tr>
        <w:trPr/>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Managing Director &amp; Head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 Macerich]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trike/>
          <w:color w:val="FF0000"/>
          <w:sz w:val="20"/>
        </w:rPr>
        <w:t>Execution Version</w:t>
      </w:r>
      <w:r>
        <w:rPr>
          <w:rFonts w:ascii="Times New Roman" w:hAnsi="Times New Roman"/>
          <w:b/>
          <w:color w:val="0000FF"/>
          <w:sz w:val="20"/>
          <w:u w:val="single"/>
          <w:bdr w:val="double" w:sz="2" w:space="1" w:color="000000"/>
        </w:rPr>
        <w:t xml:space="preserve"> </w:t>
      </w:r>
    </w:p>
    <w:p>
      <w:pPr>
        <w:pStyle w:val="TextBody"/>
        <w:bidi w:val="0"/>
        <w:spacing w:before="0" w:after="0"/>
        <w:jc w:val="right"/>
        <w:rPr>
          <w:rFonts w:ascii="Times New Roman" w:hAnsi="Times New Roman"/>
          <w:b/>
          <w:sz w:val="20"/>
        </w:rPr>
      </w:pPr>
      <w:r>
        <w:rPr>
          <w:rFonts w:ascii="Times New Roman" w:hAnsi="Times New Roman"/>
          <w:b/>
          <w:color w:val="0000FF"/>
          <w:sz w:val="20"/>
          <w:u w:val="single"/>
          <w:bdr w:val="double" w:sz="2" w:space="1" w:color="000000"/>
        </w:rPr>
        <w:t>Conformed through the First Amendment</w:t>
      </w:r>
      <w:r>
        <w:rPr>
          <w:rFonts w:ascii="Times New Roman" w:hAnsi="Times New Roman"/>
          <w:b/>
          <w:sz w:val="20"/>
        </w:rPr>
        <w:t xml:space="preserve"> </w:t>
      </w:r>
    </w:p>
    <w:p>
      <w:pPr>
        <w:pStyle w:val="TextBody"/>
        <w:bidi w:val="0"/>
        <w:spacing w:before="0" w:after="0"/>
        <w:jc w:val="right"/>
        <w:rPr>
          <w:rFonts w:ascii="Times New Roman" w:hAnsi="Times New Roman"/>
          <w:b/>
          <w:sz w:val="20"/>
        </w:rPr>
      </w:pPr>
      <w:r>
        <w:rPr>
          <w:rFonts w:ascii="Times New Roman" w:hAnsi="Times New Roman"/>
          <w:b/>
          <w:color w:val="0000FF"/>
          <w:sz w:val="20"/>
          <w:u w:val="single"/>
          <w:bdr w:val="double" w:sz="2" w:space="1" w:color="000000"/>
        </w:rPr>
        <w:t>to Second Amended and Restated Credit Agreement</w:t>
      </w:r>
      <w:r>
        <w:rPr>
          <w:rFonts w:ascii="Times New Roman" w:hAnsi="Times New Roman"/>
          <w:b/>
          <w:sz w:val="20"/>
        </w:rPr>
        <w:t xml:space="preserve"> </w:t>
      </w:r>
    </w:p>
    <w:p>
      <w:pPr>
        <w:pStyle w:val="TextBody"/>
        <w:bidi w:val="0"/>
        <w:spacing w:before="320" w:after="0"/>
        <w:jc w:val="center"/>
        <w:rPr>
          <w:rFonts w:ascii="Times New Roman" w:hAnsi="Times New Roman"/>
          <w:b/>
          <w:sz w:val="20"/>
        </w:rPr>
      </w:pPr>
      <w:r>
        <w:rPr>
          <w:rFonts w:ascii="Times New Roman" w:hAnsi="Times New Roman"/>
          <w:b/>
          <w:sz w:val="20"/>
        </w:rPr>
        <w:t xml:space="preserve">SECOND AMENDED AND RESTATED 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THE MACERICH PARTNERSHIP, L.P., </w:t>
      </w:r>
    </w:p>
    <w:p>
      <w:pPr>
        <w:pStyle w:val="TextBody"/>
        <w:bidi w:val="0"/>
        <w:spacing w:before="0" w:after="0"/>
        <w:jc w:val="center"/>
        <w:rPr>
          <w:rFonts w:ascii="Times New Roman" w:hAnsi="Times New Roman"/>
          <w:b/>
          <w:sz w:val="20"/>
        </w:rPr>
      </w:pPr>
      <w:r>
        <w:rPr>
          <w:rFonts w:ascii="Times New Roman" w:hAnsi="Times New Roman"/>
          <w:b/>
          <w:sz w:val="20"/>
        </w:rPr>
        <w:t xml:space="preserve">as the Borrower </w:t>
      </w:r>
    </w:p>
    <w:p>
      <w:pPr>
        <w:pStyle w:val="TextBody"/>
        <w:bidi w:val="0"/>
        <w:spacing w:before="24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0" w:after="0"/>
        <w:jc w:val="center"/>
        <w:rPr>
          <w:rFonts w:ascii="Times New Roman" w:hAnsi="Times New Roman"/>
          <w:b/>
          <w:sz w:val="20"/>
        </w:rPr>
      </w:pPr>
      <w:r>
        <w:rPr>
          <w:rFonts w:ascii="Times New Roman" w:hAnsi="Times New Roman"/>
          <w:b/>
          <w:sz w:val="20"/>
        </w:rPr>
        <w:t xml:space="preserve">as a Guarantor </w:t>
      </w:r>
    </w:p>
    <w:p>
      <w:pPr>
        <w:pStyle w:val="TextBody"/>
        <w:bidi w:val="0"/>
        <w:spacing w:before="240" w:after="0"/>
        <w:jc w:val="center"/>
        <w:rPr>
          <w:rFonts w:ascii="Times New Roman" w:hAnsi="Times New Roman"/>
          <w:b/>
          <w:sz w:val="20"/>
        </w:rPr>
      </w:pPr>
      <w:r>
        <w:rPr>
          <w:rFonts w:ascii="Times New Roman" w:hAnsi="Times New Roman"/>
          <w:b/>
          <w:sz w:val="20"/>
        </w:rPr>
        <w:t xml:space="preserve">THE SUBSIDIARY GUARANTORS FROM TIME TO TIME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THE LENDERS FROM TIME TO TIME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DEUTSCHE BANK AG NEW YORK BRANCH, </w:t>
      </w:r>
    </w:p>
    <w:p>
      <w:pPr>
        <w:pStyle w:val="TextBody"/>
        <w:bidi w:val="0"/>
        <w:spacing w:before="0" w:after="0"/>
        <w:jc w:val="center"/>
        <w:rPr>
          <w:rFonts w:ascii="Times New Roman" w:hAnsi="Times New Roman"/>
          <w:b/>
          <w:sz w:val="20"/>
        </w:rPr>
      </w:pPr>
      <w:r>
        <w:rPr>
          <w:rFonts w:ascii="Times New Roman" w:hAnsi="Times New Roman"/>
          <w:b/>
          <w:sz w:val="20"/>
        </w:rPr>
        <w:t xml:space="preserve">as the Administrative Agent and the Collateral Agent </w:t>
      </w:r>
    </w:p>
    <w:p>
      <w:pPr>
        <w:pStyle w:val="TextBody"/>
        <w:bidi w:val="0"/>
        <w:spacing w:before="240" w:after="0"/>
        <w:jc w:val="center"/>
        <w:rPr>
          <w:rFonts w:ascii="Times New Roman" w:hAnsi="Times New Roman"/>
          <w:b/>
          <w:sz w:val="20"/>
        </w:rPr>
      </w:pPr>
      <w:r>
        <w:rPr>
          <w:rFonts w:ascii="Times New Roman" w:hAnsi="Times New Roman"/>
          <w:b/>
          <w:sz w:val="20"/>
        </w:rPr>
        <w:t xml:space="preserve">DEUTSCHE BANK SECURITIES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JPMORGAN CHASE BANK, N.A., </w:t>
      </w:r>
    </w:p>
    <w:p>
      <w:pPr>
        <w:pStyle w:val="TextBody"/>
        <w:bidi w:val="0"/>
        <w:spacing w:before="0" w:after="0"/>
        <w:jc w:val="center"/>
        <w:rPr>
          <w:rFonts w:ascii="Times New Roman" w:hAnsi="Times New Roman"/>
          <w:b/>
          <w:sz w:val="20"/>
        </w:rPr>
      </w:pPr>
      <w:r>
        <w:rPr>
          <w:rFonts w:ascii="Times New Roman" w:hAnsi="Times New Roman"/>
          <w:b/>
          <w:sz w:val="20"/>
        </w:rPr>
        <w:t xml:space="preserve">GOLDMAN SACHS BANK USA, </w:t>
      </w:r>
    </w:p>
    <w:p>
      <w:pPr>
        <w:pStyle w:val="TextBody"/>
        <w:bidi w:val="0"/>
        <w:spacing w:before="0" w:after="0"/>
        <w:jc w:val="center"/>
        <w:rPr>
          <w:rFonts w:ascii="Times New Roman" w:hAnsi="Times New Roman"/>
          <w:b/>
          <w:sz w:val="20"/>
        </w:rPr>
      </w:pPr>
      <w:r>
        <w:rPr>
          <w:rFonts w:ascii="Times New Roman" w:hAnsi="Times New Roman"/>
          <w:b/>
          <w:sz w:val="20"/>
        </w:rPr>
        <w:t xml:space="preserve">BMO CAPITAL MARKETS CORP., </w:t>
      </w:r>
    </w:p>
    <w:p>
      <w:pPr>
        <w:pStyle w:val="TextBody"/>
        <w:bidi w:val="0"/>
        <w:spacing w:before="0" w:after="0"/>
        <w:jc w:val="center"/>
        <w:rPr>
          <w:rFonts w:ascii="Times New Roman" w:hAnsi="Times New Roman"/>
          <w:b/>
          <w:sz w:val="20"/>
        </w:rPr>
      </w:pPr>
      <w:r>
        <w:rPr>
          <w:rFonts w:ascii="Times New Roman" w:hAnsi="Times New Roman"/>
          <w:b/>
          <w:sz w:val="20"/>
        </w:rPr>
        <w:t xml:space="preserve">TD SECURITIES (USA) LLC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MORGAN STANLEY SENIOR FUNDING,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as the Joint Lead Arrangers and Joint Bookrunning Managers </w:t>
      </w:r>
    </w:p>
    <w:p>
      <w:pPr>
        <w:pStyle w:val="TextBody"/>
        <w:bidi w:val="0"/>
        <w:spacing w:before="240" w:after="0"/>
        <w:jc w:val="center"/>
        <w:rPr>
          <w:rFonts w:ascii="Times New Roman" w:hAnsi="Times New Roman"/>
          <w:b/>
          <w:sz w:val="20"/>
        </w:rPr>
      </w:pPr>
      <w:r>
        <w:rPr>
          <w:rFonts w:ascii="Times New Roman" w:hAnsi="Times New Roman"/>
          <w:b/>
          <w:sz w:val="20"/>
        </w:rPr>
        <w:t xml:space="preserve">DEUTSCHE BANK SECURITIES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JPMORGAN CHASE BANK, N.A., </w:t>
      </w:r>
    </w:p>
    <w:p>
      <w:pPr>
        <w:pStyle w:val="TextBody"/>
        <w:bidi w:val="0"/>
        <w:spacing w:before="0" w:after="0"/>
        <w:jc w:val="center"/>
        <w:rPr>
          <w:rFonts w:ascii="Times New Roman" w:hAnsi="Times New Roman"/>
          <w:b/>
          <w:sz w:val="20"/>
        </w:rPr>
      </w:pPr>
      <w:r>
        <w:rPr>
          <w:rFonts w:ascii="Times New Roman" w:hAnsi="Times New Roman"/>
          <w:b/>
          <w:sz w:val="20"/>
        </w:rPr>
        <w:t xml:space="preserve">as the Co-Syndication Agents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GOLDMAN SACHS BANK USA, </w:t>
      </w:r>
    </w:p>
    <w:p>
      <w:pPr>
        <w:pStyle w:val="TextBody"/>
        <w:bidi w:val="0"/>
        <w:spacing w:before="0" w:after="0"/>
        <w:jc w:val="center"/>
        <w:rPr>
          <w:rFonts w:ascii="Times New Roman" w:hAnsi="Times New Roman"/>
          <w:b/>
          <w:sz w:val="20"/>
        </w:rPr>
      </w:pPr>
      <w:r>
        <w:rPr>
          <w:rFonts w:ascii="Times New Roman" w:hAnsi="Times New Roman"/>
          <w:b/>
          <w:sz w:val="20"/>
        </w:rPr>
        <w:t xml:space="preserve">BMO BANK N.A., </w:t>
      </w:r>
    </w:p>
    <w:p>
      <w:pPr>
        <w:pStyle w:val="TextBody"/>
        <w:bidi w:val="0"/>
        <w:spacing w:before="0" w:after="0"/>
        <w:jc w:val="center"/>
        <w:rPr>
          <w:rFonts w:ascii="Times New Roman" w:hAnsi="Times New Roman"/>
          <w:b/>
          <w:sz w:val="20"/>
        </w:rPr>
      </w:pPr>
      <w:r>
        <w:rPr>
          <w:rFonts w:ascii="Times New Roman" w:hAnsi="Times New Roman"/>
          <w:b/>
          <w:sz w:val="20"/>
        </w:rPr>
        <w:t xml:space="preserve">TD SECURITIES (USA) LLC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MORGAN STANLEY SENIOR FUNDING,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as the Co-Documentation Agents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
        <w:gridCol w:w="126"/>
        <w:gridCol w:w="661"/>
        <w:gridCol w:w="119"/>
        <w:gridCol w:w="7895"/>
        <w:gridCol w:w="154"/>
        <w:gridCol w:w="90"/>
        <w:gridCol w:w="401"/>
        <w:gridCol w:w="65"/>
      </w:tblGrid>
      <w:tr>
        <w:trPr/>
        <w:tc>
          <w:tcPr>
            <w:tcW w:w="69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89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91" w:type="dxa"/>
            <w:gridSpan w:val="2"/>
            <w:tcBorders/>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1481" w:type="dxa"/>
            <w:gridSpan w:val="3"/>
            <w:tcBorders/>
            <w:vAlign w:val="center"/>
          </w:tcPr>
          <w:p>
            <w:pPr>
              <w:pStyle w:val="TableContents"/>
              <w:bidi w:val="0"/>
              <w:spacing w:before="0" w:after="283"/>
              <w:jc w:val="left"/>
              <w:rPr>
                <w:sz w:val="4"/>
                <w:szCs w:val="4"/>
              </w:rPr>
            </w:pPr>
            <w:r>
              <w:rPr>
                <w:sz w:val="4"/>
                <w:szCs w:val="4"/>
              </w:rPr>
            </w:r>
          </w:p>
        </w:tc>
        <w:tc>
          <w:tcPr>
            <w:tcW w:w="801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Pr>
          <w:p>
            <w:pPr>
              <w:pStyle w:val="TableContents"/>
              <w:bidi w:val="0"/>
              <w:spacing w:before="0" w:after="283"/>
              <w:jc w:val="left"/>
              <w:rPr/>
            </w:pPr>
            <w:r>
              <w:rPr/>
              <w:t>ARTICLE 1.</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The Credits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787" w:type="dxa"/>
            <w:gridSpan w:val="2"/>
            <w:tcBorders/>
            <w:vAlign w:val="center"/>
          </w:tcPr>
          <w:p>
            <w:pPr>
              <w:pStyle w:val="TableContents"/>
              <w:bidi w:val="0"/>
              <w:spacing w:before="0" w:after="283"/>
              <w:jc w:val="left"/>
              <w:rPr>
                <w:sz w:val="4"/>
                <w:szCs w:val="4"/>
              </w:rPr>
            </w:pPr>
            <w:r>
              <w:rPr>
                <w:sz w:val="4"/>
                <w:szCs w:val="4"/>
              </w:rPr>
            </w:r>
          </w:p>
        </w:tc>
        <w:tc>
          <w:tcPr>
            <w:tcW w:w="801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1.1.</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The Revolving Commitments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1.2.</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1.3.</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Requests for Borrowings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1.4.</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Letters of Credit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1.5.</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Funding of Borrowings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1.6.</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Interest Elections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1.7.</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Reduction and Extension of the Revolving Commitments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1.8.</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Manner of Payment of Loans; Evidence of Debt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1.9.</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Loans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1.10.</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1.11.</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Presumptions of Payment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1.12.</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Defaulting Lenders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rHeight w:val="120" w:hRule="atLeast"/>
        </w:trPr>
        <w:tc>
          <w:tcPr>
            <w:tcW w:w="1481" w:type="dxa"/>
            <w:gridSpan w:val="3"/>
            <w:tcBorders/>
            <w:vAlign w:val="center"/>
          </w:tcPr>
          <w:p>
            <w:pPr>
              <w:pStyle w:val="TableContents"/>
              <w:bidi w:val="0"/>
              <w:spacing w:before="0" w:after="283"/>
              <w:jc w:val="left"/>
              <w:rPr>
                <w:sz w:val="4"/>
                <w:szCs w:val="4"/>
              </w:rPr>
            </w:pPr>
            <w:r>
              <w:rPr>
                <w:sz w:val="4"/>
                <w:szCs w:val="4"/>
              </w:rPr>
            </w:r>
          </w:p>
        </w:tc>
        <w:tc>
          <w:tcPr>
            <w:tcW w:w="801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Pr>
          <w:p>
            <w:pPr>
              <w:pStyle w:val="TableContents"/>
              <w:bidi w:val="0"/>
              <w:spacing w:before="0" w:after="283"/>
              <w:jc w:val="left"/>
              <w:rPr/>
            </w:pPr>
            <w:r>
              <w:rPr/>
              <w:t>ARTICLE 2.</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General Provisions Regarding Payments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787" w:type="dxa"/>
            <w:gridSpan w:val="2"/>
            <w:tcBorders/>
            <w:vAlign w:val="center"/>
          </w:tcPr>
          <w:p>
            <w:pPr>
              <w:pStyle w:val="TableContents"/>
              <w:bidi w:val="0"/>
              <w:spacing w:before="0" w:after="283"/>
              <w:jc w:val="left"/>
              <w:rPr>
                <w:sz w:val="4"/>
                <w:szCs w:val="4"/>
              </w:rPr>
            </w:pPr>
            <w:r>
              <w:rPr>
                <w:sz w:val="4"/>
                <w:szCs w:val="4"/>
              </w:rPr>
            </w:r>
          </w:p>
        </w:tc>
        <w:tc>
          <w:tcPr>
            <w:tcW w:w="801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2.1.</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Payments by the Borrower</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2.2.</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Pro Rata Treatment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2.3.</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2.4.</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Inability to Determine Rates; Alternate Rate</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2.5.</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Illegality</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2.6.</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2.7.</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2.8.</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Obligation of Lenders to Mitigate; Replacement of Lenders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2.9.</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Funding Indemnification</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2.10.</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2.11.</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2.12.</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Default Interest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2.13.</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Computation</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2.14.</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Insufficient Payments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rHeight w:val="120" w:hRule="atLeast"/>
        </w:trPr>
        <w:tc>
          <w:tcPr>
            <w:tcW w:w="1481" w:type="dxa"/>
            <w:gridSpan w:val="3"/>
            <w:tcBorders/>
            <w:vAlign w:val="center"/>
          </w:tcPr>
          <w:p>
            <w:pPr>
              <w:pStyle w:val="TableContents"/>
              <w:bidi w:val="0"/>
              <w:spacing w:before="0" w:after="283"/>
              <w:jc w:val="left"/>
              <w:rPr>
                <w:sz w:val="4"/>
                <w:szCs w:val="4"/>
              </w:rPr>
            </w:pPr>
            <w:r>
              <w:rPr>
                <w:sz w:val="4"/>
                <w:szCs w:val="4"/>
              </w:rPr>
            </w:r>
          </w:p>
        </w:tc>
        <w:tc>
          <w:tcPr>
            <w:tcW w:w="801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Pr>
          <w:p>
            <w:pPr>
              <w:pStyle w:val="TableContents"/>
              <w:bidi w:val="0"/>
              <w:spacing w:before="0" w:after="283"/>
              <w:jc w:val="left"/>
              <w:rPr/>
            </w:pPr>
            <w:r>
              <w:rPr/>
              <w:t>ARTICLE 3.</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Incremental Facility</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787" w:type="dxa"/>
            <w:gridSpan w:val="2"/>
            <w:tcBorders/>
            <w:vAlign w:val="center"/>
          </w:tcPr>
          <w:p>
            <w:pPr>
              <w:pStyle w:val="TableContents"/>
              <w:bidi w:val="0"/>
              <w:spacing w:before="0" w:after="283"/>
              <w:jc w:val="left"/>
              <w:rPr>
                <w:sz w:val="4"/>
                <w:szCs w:val="4"/>
              </w:rPr>
            </w:pPr>
            <w:r>
              <w:rPr>
                <w:sz w:val="4"/>
                <w:szCs w:val="4"/>
              </w:rPr>
            </w:r>
          </w:p>
        </w:tc>
        <w:tc>
          <w:tcPr>
            <w:tcW w:w="801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3.1.</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Incremental Facility Request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3.2.</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Facility Increase Arrangers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3.3.</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Effectiveness of Facility Increase</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3.4.</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Additional Facility Increase Matters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r>
        <w:trPr>
          <w:trHeight w:val="120" w:hRule="atLeast"/>
        </w:trPr>
        <w:tc>
          <w:tcPr>
            <w:tcW w:w="1481" w:type="dxa"/>
            <w:gridSpan w:val="3"/>
            <w:tcBorders/>
            <w:vAlign w:val="center"/>
          </w:tcPr>
          <w:p>
            <w:pPr>
              <w:pStyle w:val="TableContents"/>
              <w:bidi w:val="0"/>
              <w:spacing w:before="0" w:after="283"/>
              <w:jc w:val="left"/>
              <w:rPr>
                <w:sz w:val="4"/>
                <w:szCs w:val="4"/>
              </w:rPr>
            </w:pPr>
            <w:r>
              <w:rPr>
                <w:sz w:val="4"/>
                <w:szCs w:val="4"/>
              </w:rPr>
            </w:r>
          </w:p>
        </w:tc>
        <w:tc>
          <w:tcPr>
            <w:tcW w:w="801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Pr>
          <w:p>
            <w:pPr>
              <w:pStyle w:val="TableContents"/>
              <w:bidi w:val="0"/>
              <w:spacing w:before="0" w:after="283"/>
              <w:jc w:val="left"/>
              <w:rPr/>
            </w:pPr>
            <w:r>
              <w:rPr/>
              <w:t>ARTICLE 4.</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Credit Support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787" w:type="dxa"/>
            <w:gridSpan w:val="2"/>
            <w:tcBorders/>
            <w:vAlign w:val="center"/>
          </w:tcPr>
          <w:p>
            <w:pPr>
              <w:pStyle w:val="TableContents"/>
              <w:bidi w:val="0"/>
              <w:spacing w:before="0" w:after="283"/>
              <w:jc w:val="left"/>
              <w:rPr>
                <w:sz w:val="4"/>
                <w:szCs w:val="4"/>
              </w:rPr>
            </w:pPr>
            <w:r>
              <w:rPr>
                <w:sz w:val="4"/>
                <w:szCs w:val="4"/>
              </w:rPr>
            </w:r>
          </w:p>
        </w:tc>
        <w:tc>
          <w:tcPr>
            <w:tcW w:w="801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4.1.</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REIT Guaranty</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4.2.</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Guaranties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694" w:type="dxa"/>
            <w:tcBorders/>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4.3.</w:t>
            </w:r>
          </w:p>
        </w:tc>
        <w:tc>
          <w:tcPr>
            <w:tcW w:w="119" w:type="dxa"/>
            <w:tcBorders/>
            <w:vAlign w:val="bottom"/>
          </w:tcPr>
          <w:p>
            <w:pPr>
              <w:pStyle w:val="TableContents"/>
              <w:bidi w:val="0"/>
              <w:spacing w:before="0" w:after="283"/>
              <w:jc w:val="left"/>
              <w:rPr/>
            </w:pPr>
            <w:r>
              <w:rPr/>
              <w:t> </w:t>
            </w:r>
          </w:p>
        </w:tc>
        <w:tc>
          <w:tcPr>
            <w:tcW w:w="7895" w:type="dxa"/>
            <w:tcBorders/>
          </w:tcPr>
          <w:p>
            <w:pPr>
              <w:pStyle w:val="TableContents"/>
              <w:bidi w:val="0"/>
              <w:spacing w:before="0" w:after="0"/>
              <w:jc w:val="left"/>
              <w:rPr>
                <w:rFonts w:ascii="Times New Roman" w:hAnsi="Times New Roman"/>
                <w:sz w:val="20"/>
              </w:rPr>
            </w:pPr>
            <w:r>
              <w:rPr>
                <w:rFonts w:ascii="Times New Roman" w:hAnsi="Times New Roman"/>
                <w:sz w:val="20"/>
              </w:rPr>
              <w:t>Pledge Agreement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3"/>
        <w:gridCol w:w="178"/>
        <w:gridCol w:w="1121"/>
        <w:gridCol w:w="123"/>
        <w:gridCol w:w="7872"/>
        <w:gridCol w:w="164"/>
        <w:gridCol w:w="60"/>
        <w:gridCol w:w="260"/>
        <w:gridCol w:w="64"/>
      </w:tblGrid>
      <w:tr>
        <w:trPr/>
        <w:tc>
          <w:tcPr>
            <w:tcW w:w="36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87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662" w:type="dxa"/>
            <w:gridSpan w:val="3"/>
            <w:tcBorders/>
            <w:vAlign w:val="center"/>
          </w:tcPr>
          <w:p>
            <w:pPr>
              <w:pStyle w:val="TableContents"/>
              <w:bidi w:val="0"/>
              <w:spacing w:before="0" w:after="283"/>
              <w:jc w:val="left"/>
              <w:rPr>
                <w:sz w:val="4"/>
                <w:szCs w:val="4"/>
              </w:rPr>
            </w:pPr>
            <w:r>
              <w:rPr>
                <w:sz w:val="4"/>
                <w:szCs w:val="4"/>
              </w:rPr>
            </w:r>
          </w:p>
        </w:tc>
        <w:tc>
          <w:tcPr>
            <w:tcW w:w="799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Pr>
          <w:p>
            <w:pPr>
              <w:pStyle w:val="TableContents"/>
              <w:bidi w:val="0"/>
              <w:spacing w:before="0" w:after="283"/>
              <w:jc w:val="left"/>
              <w:rPr/>
            </w:pPr>
            <w:r>
              <w:rPr/>
              <w:t>ARTICLE 5.</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363"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799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5.1.</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Effectiveness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5.2.</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Each Credit Event After the Closing Date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662" w:type="dxa"/>
            <w:gridSpan w:val="3"/>
            <w:tcBorders/>
            <w:vAlign w:val="center"/>
          </w:tcPr>
          <w:p>
            <w:pPr>
              <w:pStyle w:val="TableContents"/>
              <w:bidi w:val="0"/>
              <w:spacing w:before="0" w:after="283"/>
              <w:jc w:val="left"/>
              <w:rPr>
                <w:sz w:val="4"/>
                <w:szCs w:val="4"/>
              </w:rPr>
            </w:pPr>
            <w:r>
              <w:rPr>
                <w:sz w:val="4"/>
                <w:szCs w:val="4"/>
              </w:rPr>
            </w:r>
          </w:p>
        </w:tc>
        <w:tc>
          <w:tcPr>
            <w:tcW w:w="799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Pr>
          <w:p>
            <w:pPr>
              <w:pStyle w:val="TableContents"/>
              <w:bidi w:val="0"/>
              <w:spacing w:before="0" w:after="283"/>
              <w:jc w:val="left"/>
              <w:rPr/>
            </w:pPr>
            <w:r>
              <w:rPr/>
              <w:t>ARTICLE 6.</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363"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799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Condition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No Material Adverse Effect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6.3.</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and Agreements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6.4.</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Powers; Authorization; Enforceability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6.5.</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No Conflict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6.6.</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No Material Litigation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6.7.</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6.8.</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Act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6.9.</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Subsidiary Entities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6.10.</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Reserve Board Regulations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6.11.</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ERISA Compliance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6.12.</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Assets and Liens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6.13.</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Acts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6.14.</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Consents,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6.15.</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Hazardous Materials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6.16.</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Regulated Entities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6.17.</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Copyrights, Patents, Trademarks and Licenses,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6.18.</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REIT Status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6.19.</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6.20.</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Full Disclosure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6.21.</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6.22.</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6.23.</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6.24.</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No Default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6.25.</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6.26.</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Foreign Assets Control Regulations, FCPA,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6.27.</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Sanctions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6.28.</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Borrowing Base Matters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6.29.</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Security Documents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6.30.</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Outbound Investment Rules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1662" w:type="dxa"/>
            <w:gridSpan w:val="3"/>
            <w:tcBorders/>
            <w:vAlign w:val="center"/>
          </w:tcPr>
          <w:p>
            <w:pPr>
              <w:pStyle w:val="TableContents"/>
              <w:bidi w:val="0"/>
              <w:spacing w:before="0" w:after="283"/>
              <w:jc w:val="left"/>
              <w:rPr>
                <w:sz w:val="4"/>
                <w:szCs w:val="4"/>
              </w:rPr>
            </w:pPr>
            <w:r>
              <w:rPr>
                <w:sz w:val="4"/>
                <w:szCs w:val="4"/>
              </w:rPr>
            </w:r>
          </w:p>
        </w:tc>
        <w:tc>
          <w:tcPr>
            <w:tcW w:w="799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Pr>
          <w:p>
            <w:pPr>
              <w:pStyle w:val="TableContents"/>
              <w:bidi w:val="0"/>
              <w:spacing w:before="0" w:after="283"/>
              <w:jc w:val="left"/>
              <w:rPr/>
            </w:pPr>
            <w:r>
              <w:rPr/>
              <w:t>ARTICLE 7.</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Affirmative Covenants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363"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799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7.1.</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7.2.</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Certificates; Reports; Other Information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7.3.</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Existence and Properties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36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121" w:type="dxa"/>
            <w:tcBorders/>
          </w:tcPr>
          <w:p>
            <w:pPr>
              <w:pStyle w:val="TableContents"/>
              <w:bidi w:val="0"/>
              <w:spacing w:before="0" w:after="283"/>
              <w:jc w:val="left"/>
              <w:rPr/>
            </w:pPr>
            <w:r>
              <w:rPr/>
              <w:t>7.4.</w:t>
            </w:r>
          </w:p>
        </w:tc>
        <w:tc>
          <w:tcPr>
            <w:tcW w:w="123" w:type="dxa"/>
            <w:tcBorders/>
            <w:vAlign w:val="bottom"/>
          </w:tcPr>
          <w:p>
            <w:pPr>
              <w:pStyle w:val="TableContents"/>
              <w:bidi w:val="0"/>
              <w:spacing w:before="0" w:after="283"/>
              <w:jc w:val="left"/>
              <w:rPr/>
            </w:pPr>
            <w:r>
              <w:rPr/>
              <w:t> </w:t>
            </w:r>
          </w:p>
        </w:tc>
        <w:tc>
          <w:tcPr>
            <w:tcW w:w="7872" w:type="dxa"/>
            <w:tcBorders/>
          </w:tcPr>
          <w:p>
            <w:pPr>
              <w:pStyle w:val="TableContents"/>
              <w:bidi w:val="0"/>
              <w:spacing w:before="0" w:after="0"/>
              <w:jc w:val="left"/>
              <w:rPr>
                <w:rFonts w:ascii="Times New Roman" w:hAnsi="Times New Roman"/>
                <w:sz w:val="20"/>
              </w:rPr>
            </w:pPr>
            <w:r>
              <w:rPr>
                <w:rFonts w:ascii="Times New Roman" w:hAnsi="Times New Roman"/>
                <w:sz w:val="20"/>
              </w:rPr>
              <w:t>Inspection of Property; Books and Records; Discussions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6"/>
        <w:gridCol w:w="125"/>
        <w:gridCol w:w="728"/>
        <w:gridCol w:w="125"/>
        <w:gridCol w:w="8153"/>
        <w:gridCol w:w="167"/>
        <w:gridCol w:w="60"/>
        <w:gridCol w:w="266"/>
        <w:gridCol w:w="65"/>
      </w:tblGrid>
      <w:tr>
        <w:trPr/>
        <w:tc>
          <w:tcPr>
            <w:tcW w:w="51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153"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7.5.</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7.6.</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7.7.</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Taxes and Charges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7.8.</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7.9.</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Hazardous Materials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7.10.</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and Contractual Obligations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7.11.</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REIT Status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7.12.</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7.13.</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Management of Projects; Management Agreements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7.14.</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Borrowing Base Additions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7.15.</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Borrowing Base Leases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7.16.</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Specified Ground Leases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62</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7.17.</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7.18.</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Guarantors, Collateral, Etc.</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7.19.</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7.20.</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Account Control Agreements; Cash Management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7.21.</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Sanctions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rHeight w:val="120" w:hRule="atLeast"/>
        </w:trPr>
        <w:tc>
          <w:tcPr>
            <w:tcW w:w="9647" w:type="dxa"/>
            <w:gridSpan w:val="5"/>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gridSpan w:val="5"/>
            <w:tcBorders/>
          </w:tcPr>
          <w:p>
            <w:pPr>
              <w:pStyle w:val="TableContents"/>
              <w:bidi w:val="0"/>
              <w:spacing w:before="0" w:after="283"/>
              <w:jc w:val="left"/>
              <w:rPr/>
            </w:pPr>
            <w:r>
              <w:rPr/>
              <w:t>ARTICLE 8. Negative Covenants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69</w:t>
            </w:r>
          </w:p>
        </w:tc>
        <w:tc>
          <w:tcPr>
            <w:tcW w:w="65"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8278"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8.1.</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69</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8.2.</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70</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8.3.</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Fundamental Change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8.4.</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Dispositions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8.5.</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8.6.</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Partners and Affiliates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8.7.</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Margin Regulations; Securities Laws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8.8.</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Documents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8.9.</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Fiscal Year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8.10.</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8.11.</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Covenants of Borrower Parties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8.12.</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Outbound Investment Rules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75</w:t>
            </w:r>
          </w:p>
        </w:tc>
        <w:tc>
          <w:tcPr>
            <w:tcW w:w="65" w:type="dxa"/>
            <w:tcBorders/>
            <w:vAlign w:val="bottom"/>
          </w:tcPr>
          <w:p>
            <w:pPr>
              <w:pStyle w:val="TableContents"/>
              <w:bidi w:val="0"/>
              <w:spacing w:before="0" w:after="283"/>
              <w:jc w:val="left"/>
              <w:rPr/>
            </w:pPr>
            <w:r>
              <w:rPr/>
              <w:t> </w:t>
            </w:r>
          </w:p>
        </w:tc>
      </w:tr>
      <w:tr>
        <w:trPr>
          <w:trHeight w:val="120" w:hRule="atLeast"/>
        </w:trPr>
        <w:tc>
          <w:tcPr>
            <w:tcW w:w="9647" w:type="dxa"/>
            <w:gridSpan w:val="5"/>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gridSpan w:val="5"/>
            <w:tcBorders/>
          </w:tcPr>
          <w:p>
            <w:pPr>
              <w:pStyle w:val="TableContents"/>
              <w:bidi w:val="0"/>
              <w:spacing w:before="0" w:after="283"/>
              <w:jc w:val="left"/>
              <w:rPr/>
            </w:pPr>
            <w:r>
              <w:rPr/>
              <w:t>ARTICLE 9. Events of Default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75</w:t>
            </w:r>
          </w:p>
        </w:tc>
        <w:tc>
          <w:tcPr>
            <w:tcW w:w="65" w:type="dxa"/>
            <w:tcBorders/>
            <w:vAlign w:val="bottom"/>
          </w:tcPr>
          <w:p>
            <w:pPr>
              <w:pStyle w:val="TableContents"/>
              <w:bidi w:val="0"/>
              <w:spacing w:before="0" w:after="283"/>
              <w:jc w:val="left"/>
              <w:rPr/>
            </w:pPr>
            <w:r>
              <w:rPr/>
              <w:t> </w:t>
            </w:r>
          </w:p>
        </w:tc>
      </w:tr>
      <w:tr>
        <w:trPr>
          <w:trHeight w:val="120" w:hRule="atLeast"/>
        </w:trPr>
        <w:tc>
          <w:tcPr>
            <w:tcW w:w="9647" w:type="dxa"/>
            <w:gridSpan w:val="5"/>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gridSpan w:val="5"/>
            <w:tcBorders/>
          </w:tcPr>
          <w:p>
            <w:pPr>
              <w:pStyle w:val="TableContents"/>
              <w:bidi w:val="0"/>
              <w:spacing w:before="0" w:after="283"/>
              <w:jc w:val="left"/>
              <w:rPr/>
            </w:pPr>
            <w:r>
              <w:rPr/>
              <w:t>ARTICLE 10. The Agents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80</w:t>
            </w:r>
          </w:p>
        </w:tc>
        <w:tc>
          <w:tcPr>
            <w:tcW w:w="65"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8278"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10.1.</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Appointment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80</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10.2.</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80</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10.3.</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Exculpatory Provisions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81</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10.4.</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Reliance by the Agents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81</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10.5.</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82</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10.6.</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Non-Reliance on Agents and Other Lenders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82</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10.7.</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Reimbursement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10.8.</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Agents in Their Individual Capacity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10.9.</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Successor Administrative Agent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516"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28" w:type="dxa"/>
            <w:tcBorders/>
          </w:tcPr>
          <w:p>
            <w:pPr>
              <w:pStyle w:val="TableContents"/>
              <w:bidi w:val="0"/>
              <w:spacing w:before="0" w:after="283"/>
              <w:jc w:val="left"/>
              <w:rPr/>
            </w:pPr>
            <w:r>
              <w:rPr/>
              <w:t>10.10.</w:t>
            </w:r>
          </w:p>
        </w:tc>
        <w:tc>
          <w:tcPr>
            <w:tcW w:w="125"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Successor Collateral Agent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62"/>
        <w:gridCol w:w="136"/>
        <w:gridCol w:w="999"/>
        <w:gridCol w:w="117"/>
        <w:gridCol w:w="7728"/>
        <w:gridCol w:w="152"/>
        <w:gridCol w:w="60"/>
        <w:gridCol w:w="387"/>
        <w:gridCol w:w="64"/>
      </w:tblGrid>
      <w:tr>
        <w:trPr/>
        <w:tc>
          <w:tcPr>
            <w:tcW w:w="562"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728"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10.11.</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Agents’ Liability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10.12.</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Collateral Matters and Releases; Mortgage Security Release Event; Designation of Non-Borrowing Base Assets; Protective Advances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10.13.</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Secured Treasury Services Agreements and Secured Hedge Agreements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10.14.</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 May File Proofs of Claim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10.15.</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Erroneous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rHeight w:val="120" w:hRule="atLeast"/>
        </w:trPr>
        <w:tc>
          <w:tcPr>
            <w:tcW w:w="1697" w:type="dxa"/>
            <w:gridSpan w:val="3"/>
            <w:tcBorders/>
            <w:vAlign w:val="center"/>
          </w:tcPr>
          <w:p>
            <w:pPr>
              <w:pStyle w:val="TableContents"/>
              <w:bidi w:val="0"/>
              <w:spacing w:before="0" w:after="283"/>
              <w:jc w:val="left"/>
              <w:rPr>
                <w:sz w:val="4"/>
                <w:szCs w:val="4"/>
              </w:rPr>
            </w:pPr>
            <w:r>
              <w:rPr>
                <w:sz w:val="4"/>
                <w:szCs w:val="4"/>
              </w:rPr>
            </w:r>
          </w:p>
        </w:tc>
        <w:tc>
          <w:tcPr>
            <w:tcW w:w="7845" w:type="dxa"/>
            <w:gridSpan w:val="2"/>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Pr>
          <w:p>
            <w:pPr>
              <w:pStyle w:val="TableContents"/>
              <w:bidi w:val="0"/>
              <w:spacing w:before="0" w:after="283"/>
              <w:jc w:val="left"/>
              <w:rPr/>
            </w:pPr>
            <w:r>
              <w:rPr/>
              <w:t>ARTICLE 11.</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Provisions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120" w:hRule="atLeast"/>
        </w:trPr>
        <w:tc>
          <w:tcPr>
            <w:tcW w:w="562" w:type="dxa"/>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c>
          <w:tcPr>
            <w:tcW w:w="7845" w:type="dxa"/>
            <w:gridSpan w:val="2"/>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562"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No Assignment by the Borrower or MAC</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Modification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11.3.</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Rights; No Waiver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11.4.</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11.5.</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11.6.</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11.7.</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11.8.</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Assignments, Participations, Etc.</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11.9.</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Electronic Execution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11.10.</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Sharing of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11.11.</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11.12.</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Consent to Jurisdiction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11.13.</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11.14.</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Indemnity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11.15.</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Telephonic Instruction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11.16.</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Marshalling; Payments Set Aside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11.17.</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Set-off</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11.18.</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11.19.</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No Third Parties Benefited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11.20.</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No Fiduciary Duty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11.21.</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PATRIOT Act; Beneficial Ownership Regulation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11.22.</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Time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11.23.</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Effectiveness of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11.24.</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and Consent to Bail-In of Affected Financial Institutions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11.25.</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Certain ERISA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11.26.</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Acknowledgment Regarding Any Supported QFCs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11.27.</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Exculpation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11.28.</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Amendment and Restatement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rHeight w:val="120" w:hRule="atLeast"/>
        </w:trPr>
        <w:tc>
          <w:tcPr>
            <w:tcW w:w="1697" w:type="dxa"/>
            <w:gridSpan w:val="3"/>
            <w:tcBorders/>
            <w:vAlign w:val="center"/>
          </w:tcPr>
          <w:p>
            <w:pPr>
              <w:pStyle w:val="TableContents"/>
              <w:bidi w:val="0"/>
              <w:spacing w:before="0" w:after="283"/>
              <w:jc w:val="left"/>
              <w:rPr>
                <w:sz w:val="4"/>
                <w:szCs w:val="4"/>
              </w:rPr>
            </w:pPr>
            <w:r>
              <w:rPr>
                <w:sz w:val="4"/>
                <w:szCs w:val="4"/>
              </w:rPr>
            </w:r>
          </w:p>
        </w:tc>
        <w:tc>
          <w:tcPr>
            <w:tcW w:w="7845" w:type="dxa"/>
            <w:gridSpan w:val="2"/>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Pr>
          <w:p>
            <w:pPr>
              <w:pStyle w:val="TableContents"/>
              <w:bidi w:val="0"/>
              <w:spacing w:before="0" w:after="283"/>
              <w:jc w:val="left"/>
              <w:rPr/>
            </w:pPr>
            <w:r>
              <w:rPr/>
              <w:t>ARTICLE 12.</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rHeight w:val="120" w:hRule="atLeast"/>
        </w:trPr>
        <w:tc>
          <w:tcPr>
            <w:tcW w:w="562" w:type="dxa"/>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c>
          <w:tcPr>
            <w:tcW w:w="7845" w:type="dxa"/>
            <w:gridSpan w:val="2"/>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12.1.</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193</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12.2.</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Other Interpretive Provisions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193</w:t>
            </w:r>
          </w:p>
        </w:tc>
        <w:tc>
          <w:tcPr>
            <w:tcW w:w="64" w:type="dxa"/>
            <w:tcBorders/>
            <w:vAlign w:val="bottom"/>
          </w:tcPr>
          <w:p>
            <w:pPr>
              <w:pStyle w:val="TableContents"/>
              <w:bidi w:val="0"/>
              <w:spacing w:before="0" w:after="283"/>
              <w:jc w:val="left"/>
              <w:rPr/>
            </w:pPr>
            <w:r>
              <w:rPr/>
              <w:t> </w:t>
            </w:r>
          </w:p>
        </w:tc>
      </w:tr>
      <w:tr>
        <w:trPr/>
        <w:tc>
          <w:tcPr>
            <w:tcW w:w="562"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12.3.</w:t>
            </w:r>
          </w:p>
        </w:tc>
        <w:tc>
          <w:tcPr>
            <w:tcW w:w="117" w:type="dxa"/>
            <w:tcBorders/>
            <w:vAlign w:val="bottom"/>
          </w:tcPr>
          <w:p>
            <w:pPr>
              <w:pStyle w:val="TableContents"/>
              <w:bidi w:val="0"/>
              <w:spacing w:before="0" w:after="283"/>
              <w:jc w:val="left"/>
              <w:rPr/>
            </w:pPr>
            <w:r>
              <w:rPr/>
              <w:t> </w:t>
            </w:r>
          </w:p>
        </w:tc>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Rates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194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ANNEXES, SCHEDULES AND EXHIBITS </w:t>
      </w:r>
    </w:p>
    <w:p>
      <w:pPr>
        <w:pStyle w:val="TextBody"/>
        <w:bidi w:val="0"/>
        <w:spacing w:before="240" w:after="0"/>
        <w:jc w:val="left"/>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4"/>
        <w:gridCol w:w="225"/>
        <w:gridCol w:w="8576"/>
      </w:tblGrid>
      <w:tr>
        <w:trPr/>
        <w:tc>
          <w:tcPr>
            <w:tcW w:w="1404"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8576" w:type="dxa"/>
            <w:tcBorders/>
            <w:vAlign w:val="center"/>
          </w:tcPr>
          <w:p>
            <w:pPr>
              <w:pStyle w:val="TableContents"/>
              <w:bidi w:val="0"/>
              <w:spacing w:before="0" w:after="283"/>
              <w:jc w:val="left"/>
              <w:rPr>
                <w:sz w:val="4"/>
                <w:szCs w:val="4"/>
              </w:rPr>
            </w:pPr>
            <w:r>
              <w:rPr>
                <w:sz w:val="4"/>
                <w:szCs w:val="4"/>
              </w:rPr>
            </w:r>
          </w:p>
        </w:tc>
      </w:tr>
      <w:tr>
        <w:trPr/>
        <w:tc>
          <w:tcPr>
            <w:tcW w:w="1404" w:type="dxa"/>
            <w:tcBorders/>
          </w:tcPr>
          <w:p>
            <w:pPr>
              <w:pStyle w:val="TableContents"/>
              <w:bidi w:val="0"/>
              <w:spacing w:before="0" w:after="283"/>
              <w:jc w:val="left"/>
              <w:rPr/>
            </w:pPr>
            <w:r>
              <w:rPr/>
              <w:t>Schedule I</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Borrowing Base Assets</w:t>
            </w:r>
          </w:p>
        </w:tc>
      </w:tr>
      <w:tr>
        <w:trPr/>
        <w:tc>
          <w:tcPr>
            <w:tcW w:w="1404" w:type="dxa"/>
            <w:tcBorders/>
          </w:tcPr>
          <w:p>
            <w:pPr>
              <w:pStyle w:val="TableContents"/>
              <w:bidi w:val="0"/>
              <w:spacing w:before="0" w:after="283"/>
              <w:jc w:val="left"/>
              <w:rPr/>
            </w:pPr>
            <w:r>
              <w:rPr/>
              <w:t>Schedule II</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Commitments</w:t>
            </w:r>
          </w:p>
        </w:tc>
      </w:tr>
      <w:tr>
        <w:trPr/>
        <w:tc>
          <w:tcPr>
            <w:tcW w:w="1404" w:type="dxa"/>
            <w:tcBorders/>
          </w:tcPr>
          <w:p>
            <w:pPr>
              <w:pStyle w:val="TableContents"/>
              <w:bidi w:val="0"/>
              <w:spacing w:before="0" w:after="283"/>
              <w:jc w:val="left"/>
              <w:rPr/>
            </w:pPr>
            <w:r>
              <w:rPr/>
              <w:t>Schedule III</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Raw Land and/or Non-Income Generating Properties</w:t>
            </w:r>
          </w:p>
        </w:tc>
      </w:tr>
      <w:tr>
        <w:trPr/>
        <w:tc>
          <w:tcPr>
            <w:tcW w:w="1404" w:type="dxa"/>
            <w:tcBorders/>
          </w:tcPr>
          <w:p>
            <w:pPr>
              <w:pStyle w:val="TableContents"/>
              <w:bidi w:val="0"/>
              <w:spacing w:before="0" w:after="283"/>
              <w:jc w:val="left"/>
              <w:rPr/>
            </w:pPr>
            <w:r>
              <w:rPr/>
              <w:t>Schedule IV</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Subsidiary Guarantors</w:t>
            </w:r>
          </w:p>
        </w:tc>
      </w:tr>
      <w:tr>
        <w:trPr>
          <w:trHeight w:val="240" w:hRule="atLeast"/>
        </w:trPr>
        <w:tc>
          <w:tcPr>
            <w:tcW w:w="1404" w:type="dxa"/>
            <w:tcBorders/>
            <w:vAlign w:val="center"/>
          </w:tcPr>
          <w:p>
            <w:pPr>
              <w:pStyle w:val="TableContents"/>
              <w:bidi w:val="0"/>
              <w:spacing w:before="0" w:after="283"/>
              <w:jc w:val="left"/>
              <w:rPr>
                <w:sz w:val="4"/>
                <w:szCs w:val="4"/>
              </w:rPr>
            </w:pPr>
            <w:r>
              <w:rPr>
                <w:sz w:val="4"/>
                <w:szCs w:val="4"/>
              </w:rPr>
            </w:r>
          </w:p>
        </w:tc>
        <w:tc>
          <w:tcPr>
            <w:tcW w:w="8801" w:type="dxa"/>
            <w:gridSpan w:val="2"/>
            <w:tcBorders/>
            <w:vAlign w:val="center"/>
          </w:tcPr>
          <w:p>
            <w:pPr>
              <w:pStyle w:val="TableContents"/>
              <w:bidi w:val="0"/>
              <w:spacing w:before="0" w:after="283"/>
              <w:jc w:val="left"/>
              <w:rPr>
                <w:sz w:val="4"/>
                <w:szCs w:val="4"/>
              </w:rPr>
            </w:pPr>
            <w:r>
              <w:rPr>
                <w:sz w:val="4"/>
                <w:szCs w:val="4"/>
              </w:rPr>
            </w:r>
          </w:p>
        </w:tc>
      </w:tr>
      <w:tr>
        <w:trPr/>
        <w:tc>
          <w:tcPr>
            <w:tcW w:w="1404" w:type="dxa"/>
            <w:tcBorders/>
          </w:tcPr>
          <w:p>
            <w:pPr>
              <w:pStyle w:val="TableContents"/>
              <w:bidi w:val="0"/>
              <w:spacing w:before="0" w:after="283"/>
              <w:jc w:val="left"/>
              <w:rPr/>
            </w:pPr>
            <w:r>
              <w:rPr/>
              <w:t>Schedule 1.4</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Existing Letters of Credit</w:t>
            </w:r>
          </w:p>
        </w:tc>
      </w:tr>
      <w:tr>
        <w:trPr/>
        <w:tc>
          <w:tcPr>
            <w:tcW w:w="1404" w:type="dxa"/>
            <w:tcBorders/>
          </w:tcPr>
          <w:p>
            <w:pPr>
              <w:pStyle w:val="TableContents"/>
              <w:bidi w:val="0"/>
              <w:spacing w:before="0" w:after="283"/>
              <w:jc w:val="left"/>
              <w:rPr/>
            </w:pPr>
            <w:r>
              <w:rPr/>
              <w:t>Schedule 6.6</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Material Litigation</w:t>
            </w:r>
          </w:p>
        </w:tc>
      </w:tr>
      <w:tr>
        <w:trPr/>
        <w:tc>
          <w:tcPr>
            <w:tcW w:w="1404" w:type="dxa"/>
            <w:tcBorders/>
          </w:tcPr>
          <w:p>
            <w:pPr>
              <w:pStyle w:val="TableContents"/>
              <w:bidi w:val="0"/>
              <w:spacing w:before="0" w:after="283"/>
              <w:jc w:val="left"/>
              <w:rPr/>
            </w:pPr>
            <w:r>
              <w:rPr/>
              <w:t>Schedule 6.9</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Subsidiary Entities</w:t>
            </w:r>
          </w:p>
        </w:tc>
      </w:tr>
      <w:tr>
        <w:trPr/>
        <w:tc>
          <w:tcPr>
            <w:tcW w:w="1404" w:type="dxa"/>
            <w:tcBorders/>
          </w:tcPr>
          <w:p>
            <w:pPr>
              <w:pStyle w:val="TableContents"/>
              <w:bidi w:val="0"/>
              <w:spacing w:before="0" w:after="283"/>
              <w:jc w:val="left"/>
              <w:rPr/>
            </w:pPr>
            <w:r>
              <w:rPr/>
              <w:t>Schedule 6.11</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ERISA</w:t>
            </w:r>
          </w:p>
        </w:tc>
      </w:tr>
      <w:tr>
        <w:trPr/>
        <w:tc>
          <w:tcPr>
            <w:tcW w:w="1404" w:type="dxa"/>
            <w:tcBorders/>
          </w:tcPr>
          <w:p>
            <w:pPr>
              <w:pStyle w:val="TableContents"/>
              <w:bidi w:val="0"/>
              <w:spacing w:before="0" w:after="283"/>
              <w:jc w:val="left"/>
              <w:rPr/>
            </w:pPr>
            <w:r>
              <w:rPr/>
              <w:t>Schedule 6.14</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Consents</w:t>
            </w:r>
          </w:p>
        </w:tc>
      </w:tr>
      <w:tr>
        <w:trPr/>
        <w:tc>
          <w:tcPr>
            <w:tcW w:w="1404" w:type="dxa"/>
            <w:tcBorders/>
          </w:tcPr>
          <w:p>
            <w:pPr>
              <w:pStyle w:val="TableContents"/>
              <w:bidi w:val="0"/>
              <w:spacing w:before="0" w:after="283"/>
              <w:jc w:val="left"/>
              <w:rPr/>
            </w:pPr>
            <w:r>
              <w:rPr/>
              <w:t>Schedule 6.15</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Environmental Reports, Etc.</w:t>
            </w:r>
          </w:p>
        </w:tc>
      </w:tr>
      <w:tr>
        <w:trPr/>
        <w:tc>
          <w:tcPr>
            <w:tcW w:w="1404" w:type="dxa"/>
            <w:tcBorders/>
          </w:tcPr>
          <w:p>
            <w:pPr>
              <w:pStyle w:val="TableContents"/>
              <w:bidi w:val="0"/>
              <w:spacing w:before="0" w:after="283"/>
              <w:jc w:val="left"/>
              <w:rPr/>
            </w:pPr>
            <w:r>
              <w:rPr/>
              <w:t>Schedule 6.21</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Indebtedness</w:t>
            </w:r>
          </w:p>
        </w:tc>
      </w:tr>
      <w:tr>
        <w:trPr/>
        <w:tc>
          <w:tcPr>
            <w:tcW w:w="1404" w:type="dxa"/>
            <w:tcBorders/>
          </w:tcPr>
          <w:p>
            <w:pPr>
              <w:pStyle w:val="TableContents"/>
              <w:bidi w:val="0"/>
              <w:spacing w:before="0" w:after="283"/>
              <w:jc w:val="left"/>
              <w:rPr/>
            </w:pPr>
            <w:r>
              <w:rPr/>
              <w:t>Schedule 6.22</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Schedule of Properties</w:t>
            </w:r>
          </w:p>
        </w:tc>
      </w:tr>
      <w:tr>
        <w:trPr/>
        <w:tc>
          <w:tcPr>
            <w:tcW w:w="1404" w:type="dxa"/>
            <w:tcBorders/>
          </w:tcPr>
          <w:p>
            <w:pPr>
              <w:pStyle w:val="TableContents"/>
              <w:bidi w:val="0"/>
              <w:spacing w:before="0" w:after="283"/>
              <w:jc w:val="left"/>
              <w:rPr/>
            </w:pPr>
            <w:r>
              <w:rPr/>
              <w:t>Schedule 6.29</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Filing Jurisdictions and Closing Date Collateral Exceptions</w:t>
            </w:r>
          </w:p>
        </w:tc>
      </w:tr>
      <w:tr>
        <w:trPr/>
        <w:tc>
          <w:tcPr>
            <w:tcW w:w="1404" w:type="dxa"/>
            <w:tcBorders/>
          </w:tcPr>
          <w:p>
            <w:pPr>
              <w:pStyle w:val="TableContents"/>
              <w:bidi w:val="0"/>
              <w:spacing w:before="0" w:after="283"/>
              <w:jc w:val="left"/>
              <w:rPr/>
            </w:pPr>
            <w:r>
              <w:rPr/>
              <w:t>Schedule 7.13</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Wholly-Owned Projects with Non-Standard Management Agreement</w:t>
            </w:r>
          </w:p>
        </w:tc>
      </w:tr>
      <w:tr>
        <w:trPr/>
        <w:tc>
          <w:tcPr>
            <w:tcW w:w="1404" w:type="dxa"/>
            <w:tcBorders/>
          </w:tcPr>
          <w:p>
            <w:pPr>
              <w:pStyle w:val="TableContents"/>
              <w:bidi w:val="0"/>
              <w:spacing w:before="0" w:after="283"/>
              <w:jc w:val="left"/>
              <w:rPr/>
            </w:pPr>
            <w:r>
              <w:rPr/>
              <w:t>Schedule 7.17</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Post-Closing Matters</w:t>
            </w:r>
          </w:p>
        </w:tc>
      </w:tr>
      <w:tr>
        <w:trPr/>
        <w:tc>
          <w:tcPr>
            <w:tcW w:w="1404" w:type="dxa"/>
            <w:tcBorders/>
          </w:tcPr>
          <w:p>
            <w:pPr>
              <w:pStyle w:val="TableContents"/>
              <w:bidi w:val="0"/>
              <w:spacing w:before="0" w:after="283"/>
              <w:jc w:val="left"/>
              <w:rPr/>
            </w:pPr>
            <w:r>
              <w:rPr/>
              <w:t>Schedule 8.1</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Additional Permitted Liens</w:t>
            </w:r>
          </w:p>
        </w:tc>
      </w:tr>
      <w:tr>
        <w:trPr/>
        <w:tc>
          <w:tcPr>
            <w:tcW w:w="1404" w:type="dxa"/>
            <w:tcBorders/>
          </w:tcPr>
          <w:p>
            <w:pPr>
              <w:pStyle w:val="TableContents"/>
              <w:bidi w:val="0"/>
              <w:spacing w:before="0" w:after="283"/>
              <w:jc w:val="left"/>
              <w:rPr/>
            </w:pPr>
            <w:r>
              <w:rPr/>
              <w:t>Schedule 8.2</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Indebtedness</w:t>
            </w:r>
          </w:p>
        </w:tc>
      </w:tr>
      <w:tr>
        <w:trPr/>
        <w:tc>
          <w:tcPr>
            <w:tcW w:w="1404" w:type="dxa"/>
            <w:tcBorders/>
          </w:tcPr>
          <w:p>
            <w:pPr>
              <w:pStyle w:val="TableContents"/>
              <w:bidi w:val="0"/>
              <w:spacing w:before="0" w:after="283"/>
              <w:jc w:val="left"/>
              <w:rPr/>
            </w:pPr>
            <w:r>
              <w:rPr/>
              <w:t>Schedule 8.5</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Investments</w:t>
            </w:r>
          </w:p>
        </w:tc>
      </w:tr>
      <w:tr>
        <w:trPr/>
        <w:tc>
          <w:tcPr>
            <w:tcW w:w="1404" w:type="dxa"/>
            <w:tcBorders/>
          </w:tcPr>
          <w:p>
            <w:pPr>
              <w:pStyle w:val="TableContents"/>
              <w:bidi w:val="0"/>
              <w:spacing w:before="0" w:after="283"/>
              <w:jc w:val="left"/>
              <w:rPr/>
            </w:pPr>
            <w:r>
              <w:rPr/>
              <w:t>Schedule 8.6</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Transactions with Affiliates</w:t>
            </w:r>
          </w:p>
        </w:tc>
      </w:tr>
      <w:tr>
        <w:trPr/>
        <w:tc>
          <w:tcPr>
            <w:tcW w:w="1404" w:type="dxa"/>
            <w:tcBorders/>
          </w:tcPr>
          <w:p>
            <w:pPr>
              <w:pStyle w:val="TableContents"/>
              <w:bidi w:val="0"/>
              <w:spacing w:before="0" w:after="283"/>
              <w:jc w:val="left"/>
              <w:rPr/>
            </w:pPr>
            <w:r>
              <w:rPr/>
              <w:t>Schedule 8.21</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Offsets for Contribution and Indemnification Obligations</w:t>
            </w:r>
          </w:p>
        </w:tc>
      </w:tr>
      <w:tr>
        <w:trPr/>
        <w:tc>
          <w:tcPr>
            <w:tcW w:w="1404" w:type="dxa"/>
            <w:tcBorders/>
          </w:tcPr>
          <w:p>
            <w:pPr>
              <w:pStyle w:val="TableContents"/>
              <w:bidi w:val="0"/>
              <w:spacing w:before="0" w:after="283"/>
              <w:jc w:val="left"/>
              <w:rPr/>
            </w:pPr>
            <w:r>
              <w:rPr/>
              <w:t>Schedule 11.6</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Addresses for Notices, Etc.</w:t>
            </w:r>
          </w:p>
        </w:tc>
      </w:tr>
      <w:tr>
        <w:trPr>
          <w:trHeight w:val="240" w:hRule="atLeast"/>
        </w:trPr>
        <w:tc>
          <w:tcPr>
            <w:tcW w:w="1404" w:type="dxa"/>
            <w:tcBorders/>
            <w:vAlign w:val="center"/>
          </w:tcPr>
          <w:p>
            <w:pPr>
              <w:pStyle w:val="TableContents"/>
              <w:bidi w:val="0"/>
              <w:spacing w:before="0" w:after="283"/>
              <w:jc w:val="left"/>
              <w:rPr>
                <w:sz w:val="4"/>
                <w:szCs w:val="4"/>
              </w:rPr>
            </w:pPr>
            <w:r>
              <w:rPr>
                <w:sz w:val="4"/>
                <w:szCs w:val="4"/>
              </w:rPr>
            </w:r>
          </w:p>
        </w:tc>
        <w:tc>
          <w:tcPr>
            <w:tcW w:w="8801" w:type="dxa"/>
            <w:gridSpan w:val="2"/>
            <w:tcBorders/>
            <w:vAlign w:val="center"/>
          </w:tcPr>
          <w:p>
            <w:pPr>
              <w:pStyle w:val="TableContents"/>
              <w:bidi w:val="0"/>
              <w:spacing w:before="0" w:after="283"/>
              <w:jc w:val="left"/>
              <w:rPr>
                <w:sz w:val="4"/>
                <w:szCs w:val="4"/>
              </w:rPr>
            </w:pPr>
            <w:r>
              <w:rPr>
                <w:sz w:val="4"/>
                <w:szCs w:val="4"/>
              </w:rPr>
            </w:r>
          </w:p>
        </w:tc>
      </w:tr>
      <w:tr>
        <w:trPr/>
        <w:tc>
          <w:tcPr>
            <w:tcW w:w="1404" w:type="dxa"/>
            <w:tcBorders/>
          </w:tcPr>
          <w:p>
            <w:pPr>
              <w:pStyle w:val="TableContents"/>
              <w:bidi w:val="0"/>
              <w:spacing w:before="0" w:after="283"/>
              <w:jc w:val="left"/>
              <w:rPr/>
            </w:pPr>
            <w:r>
              <w:rPr/>
              <w:t>EXHIBITS:</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sz w:val="4"/>
                <w:szCs w:val="4"/>
              </w:rPr>
            </w:pPr>
            <w:r>
              <w:rPr>
                <w:sz w:val="4"/>
                <w:szCs w:val="4"/>
              </w:rPr>
            </w:r>
          </w:p>
        </w:tc>
      </w:tr>
      <w:tr>
        <w:trPr>
          <w:trHeight w:val="240" w:hRule="atLeast"/>
        </w:trPr>
        <w:tc>
          <w:tcPr>
            <w:tcW w:w="1404" w:type="dxa"/>
            <w:tcBorders/>
            <w:vAlign w:val="center"/>
          </w:tcPr>
          <w:p>
            <w:pPr>
              <w:pStyle w:val="TableContents"/>
              <w:bidi w:val="0"/>
              <w:spacing w:before="0" w:after="283"/>
              <w:jc w:val="left"/>
              <w:rPr>
                <w:sz w:val="4"/>
                <w:szCs w:val="4"/>
              </w:rPr>
            </w:pPr>
            <w:r>
              <w:rPr>
                <w:sz w:val="4"/>
                <w:szCs w:val="4"/>
              </w:rPr>
            </w:r>
          </w:p>
        </w:tc>
        <w:tc>
          <w:tcPr>
            <w:tcW w:w="8801" w:type="dxa"/>
            <w:gridSpan w:val="2"/>
            <w:tcBorders/>
            <w:vAlign w:val="center"/>
          </w:tcPr>
          <w:p>
            <w:pPr>
              <w:pStyle w:val="TableContents"/>
              <w:bidi w:val="0"/>
              <w:spacing w:before="0" w:after="283"/>
              <w:jc w:val="left"/>
              <w:rPr>
                <w:sz w:val="4"/>
                <w:szCs w:val="4"/>
              </w:rPr>
            </w:pPr>
            <w:r>
              <w:rPr>
                <w:sz w:val="4"/>
                <w:szCs w:val="4"/>
              </w:rPr>
            </w:r>
          </w:p>
        </w:tc>
      </w:tr>
      <w:tr>
        <w:trPr/>
        <w:tc>
          <w:tcPr>
            <w:tcW w:w="1404" w:type="dxa"/>
            <w:tcBorders/>
          </w:tcPr>
          <w:p>
            <w:pPr>
              <w:pStyle w:val="TableContents"/>
              <w:bidi w:val="0"/>
              <w:spacing w:before="0" w:after="283"/>
              <w:jc w:val="left"/>
              <w:rPr/>
            </w:pPr>
            <w:r>
              <w:rPr/>
              <w:t>Exhibit A</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Borrowing Request</w:t>
            </w:r>
          </w:p>
        </w:tc>
      </w:tr>
      <w:tr>
        <w:trPr/>
        <w:tc>
          <w:tcPr>
            <w:tcW w:w="1404" w:type="dxa"/>
            <w:tcBorders/>
          </w:tcPr>
          <w:p>
            <w:pPr>
              <w:pStyle w:val="TableContents"/>
              <w:bidi w:val="0"/>
              <w:spacing w:before="0" w:after="283"/>
              <w:jc w:val="left"/>
              <w:rPr/>
            </w:pPr>
            <w:r>
              <w:rPr/>
              <w:t>Exhibit B</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Letter of Credit Request</w:t>
            </w:r>
          </w:p>
        </w:tc>
      </w:tr>
      <w:tr>
        <w:trPr/>
        <w:tc>
          <w:tcPr>
            <w:tcW w:w="1404" w:type="dxa"/>
            <w:tcBorders/>
          </w:tcPr>
          <w:p>
            <w:pPr>
              <w:pStyle w:val="TableContents"/>
              <w:bidi w:val="0"/>
              <w:spacing w:before="0" w:after="283"/>
              <w:jc w:val="left"/>
              <w:rPr/>
            </w:pPr>
            <w:r>
              <w:rPr/>
              <w:t>Exhibit C</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Rate Request</w:t>
            </w:r>
          </w:p>
        </w:tc>
      </w:tr>
      <w:tr>
        <w:trPr/>
        <w:tc>
          <w:tcPr>
            <w:tcW w:w="1404" w:type="dxa"/>
            <w:tcBorders/>
          </w:tcPr>
          <w:p>
            <w:pPr>
              <w:pStyle w:val="TableContents"/>
              <w:bidi w:val="0"/>
              <w:spacing w:before="0" w:after="283"/>
              <w:jc w:val="left"/>
              <w:rPr/>
            </w:pPr>
            <w:r>
              <w:rPr/>
              <w:t>Exhibit D</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Pledge Agreement</w:t>
            </w:r>
          </w:p>
        </w:tc>
      </w:tr>
      <w:tr>
        <w:trPr/>
        <w:tc>
          <w:tcPr>
            <w:tcW w:w="1404" w:type="dxa"/>
            <w:tcBorders/>
          </w:tcPr>
          <w:p>
            <w:pPr>
              <w:pStyle w:val="TableContents"/>
              <w:bidi w:val="0"/>
              <w:spacing w:before="0" w:after="283"/>
              <w:jc w:val="left"/>
              <w:rPr/>
            </w:pPr>
            <w:r>
              <w:rPr/>
              <w:t>Exhibit E</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Assignment and Acceptance Agreement</w:t>
            </w:r>
          </w:p>
        </w:tc>
      </w:tr>
      <w:tr>
        <w:trPr/>
        <w:tc>
          <w:tcPr>
            <w:tcW w:w="1404" w:type="dxa"/>
            <w:tcBorders/>
          </w:tcPr>
          <w:p>
            <w:pPr>
              <w:pStyle w:val="TableContents"/>
              <w:bidi w:val="0"/>
              <w:spacing w:before="0" w:after="283"/>
              <w:jc w:val="left"/>
              <w:rPr/>
            </w:pPr>
            <w:r>
              <w:rPr/>
              <w:t>Exhibit F</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Closing Certificate</w:t>
            </w:r>
          </w:p>
        </w:tc>
      </w:tr>
      <w:tr>
        <w:trPr/>
        <w:tc>
          <w:tcPr>
            <w:tcW w:w="1404" w:type="dxa"/>
            <w:tcBorders/>
          </w:tcPr>
          <w:p>
            <w:pPr>
              <w:pStyle w:val="TableContents"/>
              <w:bidi w:val="0"/>
              <w:spacing w:before="0" w:after="283"/>
              <w:jc w:val="left"/>
              <w:rPr/>
            </w:pPr>
            <w:r>
              <w:rPr/>
              <w:t>Exhibit G</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Compliance Certificate</w:t>
            </w:r>
          </w:p>
        </w:tc>
      </w:tr>
      <w:tr>
        <w:trPr/>
        <w:tc>
          <w:tcPr>
            <w:tcW w:w="1404" w:type="dxa"/>
            <w:tcBorders/>
          </w:tcPr>
          <w:p>
            <w:pPr>
              <w:pStyle w:val="TableContents"/>
              <w:bidi w:val="0"/>
              <w:spacing w:before="0" w:after="283"/>
              <w:jc w:val="left"/>
              <w:rPr/>
            </w:pPr>
            <w:r>
              <w:rPr/>
              <w:t>Exhibit H</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Master Management Agreement</w:t>
            </w:r>
          </w:p>
        </w:tc>
      </w:tr>
      <w:tr>
        <w:trPr/>
        <w:tc>
          <w:tcPr>
            <w:tcW w:w="1404" w:type="dxa"/>
            <w:tcBorders/>
          </w:tcPr>
          <w:p>
            <w:pPr>
              <w:pStyle w:val="TableContents"/>
              <w:bidi w:val="0"/>
              <w:spacing w:before="0" w:after="283"/>
              <w:jc w:val="left"/>
              <w:rPr/>
            </w:pPr>
            <w:r>
              <w:rPr/>
              <w:t>Exhibit I</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Subsidiary Guaranty Agreement</w:t>
            </w:r>
          </w:p>
        </w:tc>
      </w:tr>
      <w:tr>
        <w:trPr/>
        <w:tc>
          <w:tcPr>
            <w:tcW w:w="1404" w:type="dxa"/>
            <w:tcBorders/>
          </w:tcPr>
          <w:p>
            <w:pPr>
              <w:pStyle w:val="TableContents"/>
              <w:bidi w:val="0"/>
              <w:spacing w:before="0" w:after="283"/>
              <w:jc w:val="left"/>
              <w:rPr/>
            </w:pPr>
            <w:r>
              <w:rPr/>
              <w:t>Exhibit J-1</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U.S. Tax Compliance Certificate</w:t>
            </w:r>
          </w:p>
        </w:tc>
      </w:tr>
      <w:tr>
        <w:trPr/>
        <w:tc>
          <w:tcPr>
            <w:tcW w:w="1404" w:type="dxa"/>
            <w:tcBorders/>
          </w:tcPr>
          <w:p>
            <w:pPr>
              <w:pStyle w:val="TableContents"/>
              <w:bidi w:val="0"/>
              <w:spacing w:before="0" w:after="283"/>
              <w:jc w:val="left"/>
              <w:rPr/>
            </w:pPr>
            <w:r>
              <w:rPr/>
              <w:t>Exhibit J-2</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U.S. Tax Compliance Certificate</w:t>
            </w:r>
          </w:p>
        </w:tc>
      </w:tr>
      <w:tr>
        <w:trPr/>
        <w:tc>
          <w:tcPr>
            <w:tcW w:w="1404" w:type="dxa"/>
            <w:tcBorders/>
          </w:tcPr>
          <w:p>
            <w:pPr>
              <w:pStyle w:val="TableContents"/>
              <w:bidi w:val="0"/>
              <w:spacing w:before="0" w:after="283"/>
              <w:jc w:val="left"/>
              <w:rPr/>
            </w:pPr>
            <w:r>
              <w:rPr/>
              <w:t>Exhibit J-3</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U.S. Tax Compliance Certificate</w:t>
            </w:r>
          </w:p>
        </w:tc>
      </w:tr>
      <w:tr>
        <w:trPr/>
        <w:tc>
          <w:tcPr>
            <w:tcW w:w="1404" w:type="dxa"/>
            <w:tcBorders/>
          </w:tcPr>
          <w:p>
            <w:pPr>
              <w:pStyle w:val="TableContents"/>
              <w:bidi w:val="0"/>
              <w:spacing w:before="0" w:after="283"/>
              <w:jc w:val="left"/>
              <w:rPr/>
            </w:pPr>
            <w:r>
              <w:rPr/>
              <w:t>Exhibit J-4</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U.S. Tax Compliance Certificate</w:t>
            </w:r>
          </w:p>
        </w:tc>
      </w:tr>
      <w:tr>
        <w:trPr/>
        <w:tc>
          <w:tcPr>
            <w:tcW w:w="1404" w:type="dxa"/>
            <w:tcBorders/>
          </w:tcPr>
          <w:p>
            <w:pPr>
              <w:pStyle w:val="TableContents"/>
              <w:bidi w:val="0"/>
              <w:spacing w:before="0" w:after="283"/>
              <w:jc w:val="left"/>
              <w:rPr/>
            </w:pPr>
            <w:r>
              <w:rPr/>
              <w:t>Exhibit K</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Joinder Agreement</w:t>
            </w:r>
          </w:p>
        </w:tc>
      </w:tr>
      <w:tr>
        <w:trPr/>
        <w:tc>
          <w:tcPr>
            <w:tcW w:w="1404" w:type="dxa"/>
            <w:tcBorders/>
          </w:tcPr>
          <w:p>
            <w:pPr>
              <w:pStyle w:val="TableContents"/>
              <w:bidi w:val="0"/>
              <w:spacing w:before="0" w:after="283"/>
              <w:jc w:val="left"/>
              <w:rPr/>
            </w:pPr>
            <w:r>
              <w:rPr/>
              <w:t>Exhibit L</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Quarterly Pricing Certificate</w:t>
            </w:r>
          </w:p>
        </w:tc>
      </w:tr>
      <w:tr>
        <w:trPr/>
        <w:tc>
          <w:tcPr>
            <w:tcW w:w="1404" w:type="dxa"/>
            <w:tcBorders/>
          </w:tcPr>
          <w:p>
            <w:pPr>
              <w:pStyle w:val="TableContents"/>
              <w:bidi w:val="0"/>
              <w:spacing w:before="0" w:after="283"/>
              <w:jc w:val="left"/>
              <w:rPr/>
            </w:pPr>
            <w:r>
              <w:rPr/>
              <w:t>Exhibit M</w:t>
            </w:r>
          </w:p>
        </w:tc>
        <w:tc>
          <w:tcPr>
            <w:tcW w:w="225" w:type="dxa"/>
            <w:tcBorders/>
            <w:vAlign w:val="bottom"/>
          </w:tcPr>
          <w:p>
            <w:pPr>
              <w:pStyle w:val="TableContents"/>
              <w:bidi w:val="0"/>
              <w:spacing w:before="0" w:after="283"/>
              <w:jc w:val="left"/>
              <w:rPr/>
            </w:pPr>
            <w:r>
              <w:rPr/>
              <w:t>  </w:t>
            </w:r>
          </w:p>
        </w:tc>
        <w:tc>
          <w:tcPr>
            <w:tcW w:w="8576" w:type="dxa"/>
            <w:tcBorders/>
          </w:tcPr>
          <w:p>
            <w:pPr>
              <w:pStyle w:val="TableContents"/>
              <w:bidi w:val="0"/>
              <w:spacing w:before="0" w:after="283"/>
              <w:jc w:val="left"/>
              <w:rPr/>
            </w:pPr>
            <w:r>
              <w:rPr/>
              <w:t>Form of Revolving Loan Note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80"/>
        <w:gridCol w:w="134"/>
        <w:gridCol w:w="9091"/>
      </w:tblGrid>
      <w:tr>
        <w:trPr/>
        <w:tc>
          <w:tcPr>
            <w:tcW w:w="98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pPr>
            <w:r>
              <w:rPr/>
              <w:t>Exhibit N</w:t>
            </w:r>
          </w:p>
        </w:tc>
        <w:tc>
          <w:tcPr>
            <w:tcW w:w="134" w:type="dxa"/>
            <w:tcBorders/>
            <w:vAlign w:val="bottom"/>
          </w:tcPr>
          <w:p>
            <w:pPr>
              <w:pStyle w:val="TableContents"/>
              <w:bidi w:val="0"/>
              <w:spacing w:before="0" w:after="283"/>
              <w:jc w:val="left"/>
              <w:rPr/>
            </w:pPr>
            <w:r>
              <w:rPr/>
              <w:t>  </w:t>
            </w:r>
          </w:p>
        </w:tc>
        <w:tc>
          <w:tcPr>
            <w:tcW w:w="9091" w:type="dxa"/>
            <w:tcBorders/>
          </w:tcPr>
          <w:p>
            <w:pPr>
              <w:pStyle w:val="TableContents"/>
              <w:bidi w:val="0"/>
              <w:spacing w:before="0" w:after="283"/>
              <w:jc w:val="left"/>
              <w:rPr/>
            </w:pPr>
            <w:r>
              <w:rPr/>
              <w:t>Form of Borrowing Base Certificate</w:t>
            </w:r>
          </w:p>
        </w:tc>
      </w:tr>
      <w:tr>
        <w:trPr/>
        <w:tc>
          <w:tcPr>
            <w:tcW w:w="980" w:type="dxa"/>
            <w:tcBorders/>
          </w:tcPr>
          <w:p>
            <w:pPr>
              <w:pStyle w:val="TableContents"/>
              <w:bidi w:val="0"/>
              <w:spacing w:before="0" w:after="283"/>
              <w:jc w:val="left"/>
              <w:rPr/>
            </w:pPr>
            <w:r>
              <w:rPr/>
              <w:t>Exhibit O</w:t>
            </w:r>
          </w:p>
        </w:tc>
        <w:tc>
          <w:tcPr>
            <w:tcW w:w="134" w:type="dxa"/>
            <w:tcBorders/>
            <w:vAlign w:val="bottom"/>
          </w:tcPr>
          <w:p>
            <w:pPr>
              <w:pStyle w:val="TableContents"/>
              <w:bidi w:val="0"/>
              <w:spacing w:before="0" w:after="283"/>
              <w:jc w:val="left"/>
              <w:rPr/>
            </w:pPr>
            <w:r>
              <w:rPr/>
              <w:t>  </w:t>
            </w:r>
          </w:p>
        </w:tc>
        <w:tc>
          <w:tcPr>
            <w:tcW w:w="9091" w:type="dxa"/>
            <w:tcBorders/>
          </w:tcPr>
          <w:p>
            <w:pPr>
              <w:pStyle w:val="TableContents"/>
              <w:bidi w:val="0"/>
              <w:spacing w:before="0" w:after="283"/>
              <w:jc w:val="left"/>
              <w:rPr/>
            </w:pPr>
            <w:r>
              <w:rPr/>
              <w:t>Form of Assignment and Subordination of Property Management Agreements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CREDIT AGREEMENT </w:t>
      </w:r>
    </w:p>
    <w:p>
      <w:pPr>
        <w:pStyle w:val="TextBody"/>
        <w:bidi w:val="0"/>
        <w:spacing w:before="240" w:after="0"/>
        <w:jc w:val="left"/>
        <w:rPr>
          <w:rFonts w:ascii="Times New Roman" w:hAnsi="Times New Roman"/>
          <w:sz w:val="20"/>
        </w:rPr>
      </w:pPr>
      <w:r>
        <w:rPr>
          <w:rFonts w:ascii="Times New Roman" w:hAnsi="Times New Roman"/>
          <w:sz w:val="20"/>
        </w:rPr>
        <w:t>This SECOND AMENDED AND RESTATED CREDIT AGREEMENT (as Modified, extended or replaced from time to time, this “</w:t>
      </w:r>
      <w:r>
        <w:rPr>
          <w:rFonts w:ascii="Times New Roman" w:hAnsi="Times New Roman"/>
          <w:sz w:val="20"/>
          <w:u w:val="single"/>
        </w:rPr>
        <w:t>Agreement</w:t>
      </w:r>
      <w:r>
        <w:rPr>
          <w:rFonts w:ascii="Times New Roman" w:hAnsi="Times New Roman"/>
          <w:sz w:val="20"/>
        </w:rPr>
        <w:t>”) is made and dated as of February 24, 2026, by and among THE MACERICH PARTNERSHIP, L.P., a limited partnership organized under the laws of the state of Delaware, as the Borrower (the “</w:t>
      </w:r>
      <w:r>
        <w:rPr>
          <w:rFonts w:ascii="Times New Roman" w:hAnsi="Times New Roman"/>
          <w:sz w:val="20"/>
          <w:u w:val="single"/>
        </w:rPr>
        <w:t>Borrower</w:t>
      </w:r>
      <w:r>
        <w:rPr>
          <w:rFonts w:ascii="Times New Roman" w:hAnsi="Times New Roman"/>
          <w:sz w:val="20"/>
        </w:rPr>
        <w:t>”); THE MACERICH COMPANY, a Maryland corporation (“</w:t>
      </w:r>
      <w:r>
        <w:rPr>
          <w:rFonts w:ascii="Times New Roman" w:hAnsi="Times New Roman"/>
          <w:sz w:val="20"/>
          <w:u w:val="single"/>
        </w:rPr>
        <w:t>MAC</w:t>
      </w:r>
      <w:r>
        <w:rPr>
          <w:rFonts w:ascii="Times New Roman" w:hAnsi="Times New Roman"/>
          <w:sz w:val="20"/>
        </w:rPr>
        <w:t>”), as a guarantor; THE SUBSIDIARY GUARANTORS FROM TIME TO TIME PARTY HERETO; THE LENDERS FROM TIME TO TIME PARTY HERETO; and DEUTSCHE BANK AG NEW YORK BRANCH (“</w:t>
      </w:r>
      <w:r>
        <w:rPr>
          <w:rFonts w:ascii="Times New Roman" w:hAnsi="Times New Roman"/>
          <w:sz w:val="20"/>
          <w:u w:val="single"/>
        </w:rPr>
        <w:t>DBNY</w:t>
      </w:r>
      <w:r>
        <w:rPr>
          <w:rFonts w:ascii="Times New Roman" w:hAnsi="Times New Roman"/>
          <w:sz w:val="20"/>
        </w:rPr>
        <w:t>”), as administrative agent for the Lenders (in such capacity, together with its permitted successors and assigns in such capacity, the “</w:t>
      </w:r>
      <w:r>
        <w:rPr>
          <w:rFonts w:ascii="Times New Roman" w:hAnsi="Times New Roman"/>
          <w:sz w:val="20"/>
          <w:u w:val="single"/>
        </w:rPr>
        <w:t>Administrative Agent</w:t>
      </w:r>
      <w:r>
        <w:rPr>
          <w:rFonts w:ascii="Times New Roman" w:hAnsi="Times New Roman"/>
          <w:sz w:val="20"/>
        </w:rPr>
        <w:t>”) and as collateral agent for the Secured Parties (in such capacity, together with its permitted successors and assigns in such capacity, the “</w:t>
      </w:r>
      <w:r>
        <w:rPr>
          <w:rFonts w:ascii="Times New Roman" w:hAnsi="Times New Roman"/>
          <w:sz w:val="20"/>
          <w:u w:val="single"/>
        </w:rPr>
        <w:t>Collateral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On the Original Closing Date, the Borrower, certain of the Guarantors, certain of the Lenders, the Administrative Agent and the Collateral Agent entered into a Credit Agreement (as Modified prior to the First Amendment and Restatement Closing Date, the “</w:t>
      </w:r>
      <w:r>
        <w:rPr>
          <w:rFonts w:ascii="Times New Roman" w:hAnsi="Times New Roman"/>
          <w:sz w:val="20"/>
          <w:u w:val="single"/>
        </w:rPr>
        <w:t>Original Credit Agreement</w:t>
      </w:r>
      <w:r>
        <w:rPr>
          <w:rFonts w:ascii="Times New Roman" w:hAnsi="Times New Roman"/>
          <w:sz w:val="20"/>
        </w:rPr>
        <w:t xml:space="preserve">”), which provided for a revolving credit facility in an aggregate principal amount equal to $525,000,000 and a term loan facility in an aggregate principal amount equal to $175,000,000. </w:t>
      </w:r>
    </w:p>
    <w:p>
      <w:pPr>
        <w:pStyle w:val="TextBody"/>
        <w:bidi w:val="0"/>
        <w:spacing w:before="240" w:after="0"/>
        <w:jc w:val="left"/>
        <w:rPr>
          <w:rFonts w:ascii="Times New Roman" w:hAnsi="Times New Roman"/>
          <w:sz w:val="20"/>
        </w:rPr>
      </w:pPr>
      <w:r>
        <w:rPr>
          <w:rFonts w:ascii="Times New Roman" w:hAnsi="Times New Roman"/>
          <w:sz w:val="20"/>
        </w:rPr>
        <w:t>B. On the First Amendment and Restatement Closing Date, the Borrower, certain of the Guarantors, certain of the Lenders, the Administrative Agent and the Collateral Agent entered into an Amended and Restated Credit Agreement (as Modified prior to the Closing Date, the “</w:t>
      </w:r>
      <w:r>
        <w:rPr>
          <w:rFonts w:ascii="Times New Roman" w:hAnsi="Times New Roman"/>
          <w:sz w:val="20"/>
          <w:u w:val="single"/>
        </w:rPr>
        <w:t>First Amended and Restated Credit Agreement</w:t>
      </w:r>
      <w:r>
        <w:rPr>
          <w:rFonts w:ascii="Times New Roman" w:hAnsi="Times New Roman"/>
          <w:sz w:val="20"/>
        </w:rPr>
        <w:t xml:space="preserve">”), which amended and restated the Original Credit Agreement in its entirety and provided for a revolving credit facility in an aggregate principal amount equal to $650,000,000.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has requested that the Lenders amend and restate the First Amended and Restated Credit Agreement in order to, among other things, provide for a revolving credit facility in an aggregate principal amount equal to $900,000,000 (as may be increased pursuant to and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D. The Lenders party hereto have agreed to amend and restate the First Amended and Restated Credit Agreement on the terms and conditions set forth in this Agreement and to provide or continue the Revolving Commitments in the amounts set forth for each such Lender on Schedule II hereto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DBNY has agreed to continue to act as Administrative Agent and as Collateral Agent on the terms and subject to the conditions set forth herein and in the other Loan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above Recitals and for other good and valuable consideration, the receipt and adequacy of which are hereby acknowledged, the parties hereto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ARTICLE 1. </w:t>
      </w:r>
      <w:r>
        <w:rPr>
          <w:rFonts w:ascii="Times New Roman" w:hAnsi="Times New Roman"/>
          <w:sz w:val="20"/>
          <w:u w:val="single"/>
        </w:rPr>
        <w:t>The Credits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The Revolving Commitments</w:t>
      </w:r>
      <w:r>
        <w:rPr>
          <w:rFonts w:ascii="Times New Roman" w:hAnsi="Times New Roman"/>
          <w:sz w:val="20"/>
        </w:rPr>
        <w:t xml:space="preserve">. Subject to the terms and conditions set forth herein, each Revolving Lender with a Revolving Commitment severally agrees to make one or more Revolving Loans in U.S. Dollars to the Borrower during the Availability Period in an aggregate principal amount that will not result in, after giving effect thereto, any of the following: (a) such Revolving Lender’s Revolving Credit Exposure exceeding such Revolving Lender’s Revolving Commitment; (b) the sum of the total Revolving Credit Exposures exceeding the total Revolving Commitments; or (c) the sum of the total Revolving Credit Exposures exceeding the Borrowing Base Amount. Within the foregoing limits and subject to the terms and conditions set forth herein, the Borrower may borrow, prepay and re-borrow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Obligations of Lenders</w:t>
      </w:r>
      <w:r>
        <w:rPr>
          <w:rFonts w:ascii="Times New Roman" w:hAnsi="Times New Roman"/>
          <w:sz w:val="20"/>
        </w:rPr>
        <w:t xml:space="preserve">. Each Loan shall be made as part of a Borrowing consisting of Loans or portions of a Loan of the same Type made by the Revolving Lenders ratably in accordance with their respective Revolving Commitments. The failure of any Lender to make any Loan or portion of a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Revolving Commitments of the Lenders are several and no Lender shall be responsible for any other Lender’s failure to make any Loan or portion of a Loan as required.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Types of Loans</w:t>
      </w:r>
      <w:r>
        <w:rPr>
          <w:rFonts w:ascii="Times New Roman" w:hAnsi="Times New Roman"/>
          <w:sz w:val="20"/>
        </w:rPr>
        <w:t xml:space="preserve">. Subject to </w:t>
      </w:r>
      <w:r>
        <w:rPr>
          <w:rFonts w:ascii="Times New Roman" w:hAnsi="Times New Roman"/>
          <w:sz w:val="20"/>
          <w:u w:val="single"/>
        </w:rPr>
        <w:t>Section 2.4</w:t>
      </w:r>
      <w:r>
        <w:rPr>
          <w:rFonts w:ascii="Times New Roman" w:hAnsi="Times New Roman"/>
          <w:sz w:val="20"/>
        </w:rPr>
        <w:t xml:space="preserve">, each Borrowing shall be constituted entirely of Base Rate Loans or Term SOFR Loans as the Borrower may request in accordance herewith.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Minimum Amounts; Limitation on Number of Borrowings</w:t>
      </w:r>
      <w:r>
        <w:rPr>
          <w:rFonts w:ascii="Times New Roman" w:hAnsi="Times New Roman"/>
          <w:sz w:val="20"/>
        </w:rPr>
        <w:t xml:space="preserve">. At the commencement of each Interest Period for any Term SOFR Borrowing, such Borrowing shall be in an aggregate amount of $1,000,000 or a larger multiple of $1,000,000. At the time that each Base Rate Borrowing is made, such Borrowing shall be in an aggregate amount equal to $1,000,000 or a larger multiple of $1,000,000; </w:t>
      </w:r>
      <w:r>
        <w:rPr>
          <w:rFonts w:ascii="Times New Roman" w:hAnsi="Times New Roman"/>
          <w:sz w:val="20"/>
          <w:u w:val="single"/>
        </w:rPr>
        <w:t>provided</w:t>
      </w:r>
      <w:r>
        <w:rPr>
          <w:rFonts w:ascii="Times New Roman" w:hAnsi="Times New Roman"/>
          <w:sz w:val="20"/>
        </w:rPr>
        <w:t xml:space="preserve"> that a Base Rate Borrowing may be in an aggregate amount that is equal to the entire unused balance of the total Revolving Commitments or in an amount that is required to finance the reimbursement of an LC Disbursement as contemplated by </w:t>
      </w:r>
      <w:r>
        <w:rPr>
          <w:rFonts w:ascii="Times New Roman" w:hAnsi="Times New Roman"/>
          <w:sz w:val="20"/>
          <w:u w:val="single"/>
        </w:rPr>
        <w:t>Section 1.4(6)</w:t>
      </w:r>
      <w:r>
        <w:rPr>
          <w:rFonts w:ascii="Times New Roman" w:hAnsi="Times New Roman"/>
          <w:sz w:val="20"/>
        </w:rPr>
        <w:t xml:space="preserve">. Borrowings of more than one Type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Term SOFR Loans outstanding having more than twelve (12) different Interest Periods.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Limitations on Lengths of Interest Periods</w:t>
      </w:r>
      <w:r>
        <w:rPr>
          <w:rFonts w:ascii="Times New Roman" w:hAnsi="Times New Roman"/>
          <w:sz w:val="20"/>
        </w:rPr>
        <w:t xml:space="preserve">. Notwithstanding any other provision of this Agreement, the Borrower shall not be entitled to request, or to elect to convert to or continue as a Term SOFR Borrowing, any Borrowing if the Interest Period requested therefore would end after the Revolving Commitment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Requests for Borrowings</w:t>
      </w:r>
      <w:r>
        <w:rPr>
          <w:rFonts w:ascii="Times New Roman" w:hAnsi="Times New Roman"/>
          <w:sz w:val="20"/>
        </w:rPr>
        <w:t xml:space="preserve">. To request a Borrowing, the Borrower shall notify the Administrative Agent in writing (which notice may be by electronic mail in accordance herewith) (a) in the case of a Term SOFR Borrowing, not later than 2:00 p.m. (New York time), three Business Days before the date of the proposed Revolving Borrowing or (b) in the case of a Base Rate Borrowing, not later than 11:00 a.m. (New York time) on the date of the proposed Borrowing. Each such Borrowing Request shall be irrevocable, shall be signed by a Responsible Officer and shall be in the form of </w:t>
      </w:r>
      <w:r>
        <w:rPr>
          <w:rFonts w:ascii="Times New Roman" w:hAnsi="Times New Roman"/>
          <w:sz w:val="20"/>
          <w:u w:val="single"/>
        </w:rPr>
        <w:t>Exhibit A</w:t>
      </w:r>
      <w:r>
        <w:rPr>
          <w:rFonts w:ascii="Times New Roman" w:hAnsi="Times New Roman"/>
          <w:sz w:val="20"/>
        </w:rPr>
        <w:t xml:space="preserve"> hereto. A Borrowing Request may be made by electronic mail in accordance herewith. Each such Borrowing Request shall specify the following information in compliance with </w:t>
      </w:r>
      <w:r>
        <w:rPr>
          <w:rFonts w:ascii="Times New Roman" w:hAnsi="Times New Roman"/>
          <w:sz w:val="20"/>
          <w:u w:val="single"/>
        </w:rPr>
        <w:t>Section 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(ii) the date of such Borrowing, which shall be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(iii) whether such Borrowing is to be a Base Rate Borrowing or a Term SOFR Borrowing; </w:t>
      </w:r>
    </w:p>
    <w:p>
      <w:pPr>
        <w:pStyle w:val="TextBody"/>
        <w:bidi w:val="0"/>
        <w:spacing w:before="240" w:after="0"/>
        <w:jc w:val="left"/>
        <w:rPr>
          <w:rFonts w:ascii="Times New Roman" w:hAnsi="Times New Roman"/>
          <w:sz w:val="20"/>
        </w:rPr>
      </w:pPr>
      <w:r>
        <w:rPr>
          <w:rFonts w:ascii="Times New Roman" w:hAnsi="Times New Roman"/>
          <w:sz w:val="20"/>
        </w:rPr>
        <w:t xml:space="preserve">(iv) in the case of a Term SOFR Borrowing, the Interest Period therefor, which shall be a period contemplated by the definition of the term “Interest Period” as it relates to Term SOFR Loans; and </w:t>
      </w:r>
    </w:p>
    <w:p>
      <w:pPr>
        <w:pStyle w:val="TextBody"/>
        <w:bidi w:val="0"/>
        <w:spacing w:before="240" w:after="0"/>
        <w:jc w:val="left"/>
        <w:rPr>
          <w:rFonts w:ascii="Times New Roman" w:hAnsi="Times New Roman"/>
          <w:sz w:val="20"/>
        </w:rPr>
      </w:pPr>
      <w:r>
        <w:rPr>
          <w:rFonts w:ascii="Times New Roman" w:hAnsi="Times New Roman"/>
          <w:sz w:val="20"/>
        </w:rPr>
        <w:t xml:space="preserve">(v) the location and number of the Borrower’s account to which funds are to be disbursed, which shall comply with the requirements of </w:t>
      </w:r>
      <w:r>
        <w:rPr>
          <w:rFonts w:ascii="Times New Roman" w:hAnsi="Times New Roman"/>
          <w:sz w:val="20"/>
          <w:u w:val="single"/>
        </w:rPr>
        <w:t>Section 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Borrowing is specified, then the requested Borrowing shall be a Base Rate Borrowing. If no Interest Period is specified with respect to any requested Term SOFR Borrowing, then the Borrower shall be deemed to have selected an Interest Period of one month’s duration. Promptly following receipt of a Borrowing Request in accordance with this Section, the Administrative Agent shall advise each applicable Lender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Subject to the terms and conditions set forth herein, in addition to the Loans provided for in </w:t>
      </w:r>
      <w:r>
        <w:rPr>
          <w:rFonts w:ascii="Times New Roman" w:hAnsi="Times New Roman"/>
          <w:sz w:val="20"/>
          <w:u w:val="single"/>
        </w:rPr>
        <w:t>Section 1.1</w:t>
      </w:r>
      <w:r>
        <w:rPr>
          <w:rFonts w:ascii="Times New Roman" w:hAnsi="Times New Roman"/>
          <w:sz w:val="20"/>
        </w:rPr>
        <w:t>, the Borrower may request the Issuing Lenders to issue Letters of Credit for its own account or the account of any Macerich Entity in such form as is acceptable to the applicable Issuing Lender in its reasonable determination at any time prior to the earlier of (i) the date that is thirty (30) days prior to the Revolving Commitment Termination Date and (ii) the date of termination of the Revolving Commitments (such earlier date, the “</w:t>
      </w:r>
      <w:r>
        <w:rPr>
          <w:rFonts w:ascii="Times New Roman" w:hAnsi="Times New Roman"/>
          <w:sz w:val="20"/>
          <w:u w:val="single"/>
        </w:rPr>
        <w:t>LC Commitment Expiry Date</w:t>
      </w:r>
      <w:r>
        <w:rPr>
          <w:rFonts w:ascii="Times New Roman" w:hAnsi="Times New Roman"/>
          <w:sz w:val="20"/>
        </w:rPr>
        <w:t xml:space="preserve">”). Letters of Credit issued hereunder shall constitute utilization of the Revolving Commitments. All Letters of Credit issued pursuant to this Agreement must be denominated in U.S. Dollars and must be standby letters of credit. The only drawings permitted on the Letters of Credit issued pursuant to this Agreement shall be sight drawings. The Borrower may request a Letter of Credit from any Issuing Lender selected by the Borrower in its sole discretion. The Borrower shall use commercially reasonable efforts, to the extent practicable, to cause the Letters of Credit to be issued by the Issuing Lenders on a proportionate basis in accordance with their proportionate share of the aggregate Letter of Credit Commitments. It is hereby acknowledged and agreed that each of the Existing Letters of Credit shall constitute a “Letter of Credit” for all purposes under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Notice of Issuance, Amendment or Extension</w:t>
      </w:r>
      <w:r>
        <w:rPr>
          <w:rFonts w:ascii="Times New Roman" w:hAnsi="Times New Roman"/>
          <w:sz w:val="20"/>
        </w:rPr>
        <w:t xml:space="preserve">. Whenever it requires that a Letter of Credit be issued, the Borrower shall give the Administrative Agent and the applicable Issuing Lender(s) written notice thereof at least three (3) Business Days (or such shorter period acceptable to the applicable Issuing Lender(s)) in advance of the proposed date of issuance (which shall be a Business Day), which notice shall be in the form of </w:t>
      </w:r>
      <w:r>
        <w:rPr>
          <w:rFonts w:ascii="Times New Roman" w:hAnsi="Times New Roman"/>
          <w:sz w:val="20"/>
          <w:u w:val="single"/>
        </w:rPr>
        <w:t>Exhibit B</w:t>
      </w:r>
      <w:r>
        <w:rPr>
          <w:rFonts w:ascii="Times New Roman" w:hAnsi="Times New Roman"/>
          <w:sz w:val="20"/>
        </w:rPr>
        <w:t xml:space="preserve"> or such other form as reasonably required by such Issuing Lender (each such notice being a “</w:t>
      </w:r>
      <w:r>
        <w:rPr>
          <w:rFonts w:ascii="Times New Roman" w:hAnsi="Times New Roman"/>
          <w:sz w:val="20"/>
          <w:u w:val="single"/>
        </w:rPr>
        <w:t>Letter of Credit Request</w:t>
      </w:r>
      <w:r>
        <w:rPr>
          <w:rFonts w:ascii="Times New Roman" w:hAnsi="Times New Roman"/>
          <w:sz w:val="20"/>
        </w:rPr>
        <w:t xml:space="preserve">”). Whenever the Borrower requires an amendment or extension of any outstanding Letter of Credit, the Borrower shall, on its letterhead, give the Administrative Agent and the applicable Issuing Lender(s) written notice thereof at least three (3) Business Days (or such shorter period acceptable to the applicable Issuing Lender(s)) in advance of the proposed date of the amendment (which shall be a Business Day). Letter of Credit Requests and amendment requests may be delivered by electronic mail in accordance herewith. No later than the fifth Business Day of each month (and on such other dates as the Administrative Agent may request), each Issuing Lender (other than any Issuing Lender that is also the Administrative Agent) shall provide the Administrative Agent a list of all Letters of Credit issued by it that are outstanding at such time together with information regarding changes in the balances under, and maturity dates of, Letters of Credit issued by such Issuing Lender during the previous month and such other information as the Administrative Agent may reasonably request. If requested by an Issuing Lender, the Borrower shall also submit a letter of credit application on such Issuing Lender’s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such Issuing Lender relating to any Letter of Credit, the terms and conditions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Limitations on Amounts</w:t>
      </w:r>
      <w:r>
        <w:rPr>
          <w:rFonts w:ascii="Times New Roman" w:hAnsi="Times New Roman"/>
          <w:sz w:val="20"/>
        </w:rPr>
        <w:t>. A Letter of Credit shall be issued, amended or extended only if (and upon issuance, amendment or extension of each Letter of Credit the Borrower shall be deemed to represent and warrant that), after giving effect to such issuance, amendment or extension (i) the aggregate LC Exposure of the Issuing Lenders (determined for these purposes without giving effect to the participations therein of the Revolving Lenders pursuant to</w:t>
      </w:r>
      <w:r>
        <w:rPr>
          <w:rFonts w:ascii="Times New Roman" w:hAnsi="Times New Roman"/>
          <w:sz w:val="20"/>
          <w:u w:val="single"/>
        </w:rPr>
        <w:t xml:space="preserve"> Section 1.4(5)</w:t>
      </w:r>
      <w:r>
        <w:rPr>
          <w:rFonts w:ascii="Times New Roman" w:hAnsi="Times New Roman"/>
          <w:sz w:val="20"/>
        </w:rPr>
        <w:t xml:space="preserve"> below), collectively, shall not exceed the aggregate Letter of Credit Commitments, (ii) the sum of the total Revolving Credit Exposures shall not exceed the total Revolving Commitments, (iii) unless otherwise consented to in writing, the aggregate LC Exposure of an Issuing Lender (determined for these purposes without giving effect to the participations therein of the Revolving Lenders pursuant to </w:t>
      </w:r>
      <w:r>
        <w:rPr>
          <w:rFonts w:ascii="Times New Roman" w:hAnsi="Times New Roman"/>
          <w:sz w:val="20"/>
          <w:u w:val="single"/>
        </w:rPr>
        <w:t>Section 1.4(5)</w:t>
      </w:r>
      <w:r>
        <w:rPr>
          <w:rFonts w:ascii="Times New Roman" w:hAnsi="Times New Roman"/>
          <w:sz w:val="20"/>
        </w:rPr>
        <w:t xml:space="preserve"> below) shall not exceed such Issuing Lender’s Letter of Credit Commitment and (iv) the sum of the total Revolving Credit Exposures shall not exceed the Borrowing Base Amount. Notwithstanding the foregoing, no Issuing Lender shall be obligated to issue a Letter of Credit to the extent that, on the date of such Issuing Lender’s receipt of a request for issuance pursuant to </w:t>
      </w:r>
      <w:r>
        <w:rPr>
          <w:rFonts w:ascii="Times New Roman" w:hAnsi="Times New Roman"/>
          <w:sz w:val="20"/>
          <w:u w:val="single"/>
        </w:rPr>
        <w:t>Section 1.4(2)</w:t>
      </w:r>
      <w:r>
        <w:rPr>
          <w:rFonts w:ascii="Times New Roman" w:hAnsi="Times New Roman"/>
          <w:sz w:val="20"/>
        </w:rPr>
        <w:t xml:space="preserve"> above, the Stated Amount of such Letter of Credit shall exceed the unused portion of the Revolving Commitments of such Issuing Lender in its capacity as a Lender on such date. Each Letter of Credit shall be in an amount of $100,000 or larger.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Expiration Date</w:t>
      </w:r>
      <w:r>
        <w:rPr>
          <w:rFonts w:ascii="Times New Roman" w:hAnsi="Times New Roman"/>
          <w:sz w:val="20"/>
        </w:rPr>
        <w:t>. Each Letter of Credit shall expire at or prior to the close of business on the earlier of (i) the date twelve months after the date of the issuance of such Letter of Credit or, in the case of any extension thereof (which extensions, subject to</w:t>
      </w:r>
      <w:r>
        <w:rPr>
          <w:rFonts w:ascii="Times New Roman" w:hAnsi="Times New Roman"/>
          <w:sz w:val="20"/>
          <w:u w:val="single"/>
        </w:rPr>
        <w:t xml:space="preserve"> clause</w:t>
      </w:r>
      <w:r>
        <w:rPr>
          <w:rFonts w:ascii="Times New Roman" w:hAnsi="Times New Roman"/>
          <w:sz w:val="20"/>
        </w:rPr>
        <w:t xml:space="preserve"> (ii) hereof, may be automatic pursuant to the terms of such Letter of Credit), twelve months after the then-current expiration date of such Letter of Credit and (ii) the Outside L/C Maturity Date; provided that, if one or more Letters of Credit shall have an expiry date that is later than the Revolving Commitment Termination Date, (x) the Borrower shall provide Cash Collateral pursuant to and in accordance with Section 1.4(11) with respect to such Letters of Credit on or prior to the date that is five days before the Revolving Commitment Termination Date, (y) the obligations of the Borrower under this Section 1.4 in respect of such Letters of Credit shall survive the Revolving Commitment Termination Date and shall remain in effect until no such Letters of Credit remain outstanding (or remain subject to any pending drawing) and (z) each Revolving Lender shall be reinstated hereunder, to the extent any such Cash Collateral, the application thereof or reimbursement in respect thereof is required to be returned to the Borrower by the applicable Issuing Lender after the Revolving Commitment Termination Date until no such Letters of Credit remain outstanding (or remain subject to any pending drawing).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Participations</w:t>
      </w:r>
      <w:r>
        <w:rPr>
          <w:rFonts w:ascii="Times New Roman" w:hAnsi="Times New Roman"/>
          <w:sz w:val="20"/>
        </w:rPr>
        <w:t xml:space="preserve">. By the issuance of a Letter of Credit (or an amendment to a Letter of Credit increasing the amount thereof) by an Issuing Lender, and without any further action on the part of such Issuing Lender or the Revolving Lenders, such Issuing Lender hereby grants to each Revolving Lender, and each Revolving Lender hereby acquires from such Issuing Lender, an undivided interest and participation in such Letter of Credit equal to such Revolving Lender’s Applicable Revolving Percentage of the aggregate amount available to be drawn under such Letter of Credit. Each Revolving Lender acknowledges and agrees that its obligation to acquire participations pursuant to this section in respect of Letters of Credit is absolute and unconditional and shall not be affected by any circumstance whatsoever, including any amendment or extension of any Letter of Credit or the occurrence and continuance of a Potential Default or Event of Default or reduction or termination of the Revolving Commitments, and that each payment made in accordance with the following paragraph of this </w:t>
      </w:r>
      <w:r>
        <w:rPr>
          <w:rFonts w:ascii="Times New Roman" w:hAnsi="Times New Roman"/>
          <w:sz w:val="20"/>
          <w:u w:val="single"/>
        </w:rPr>
        <w:t>Section 1.4(5)</w:t>
      </w:r>
      <w:r>
        <w:rPr>
          <w:rFonts w:ascii="Times New Roman" w:hAnsi="Times New Roman"/>
          <w:sz w:val="20"/>
        </w:rPr>
        <w:t xml:space="preserve"> by a Revolving Lender for the account of an Issuing Lender shall be made without any offset, abatement, withholding or reduction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and in furtherance of the foregoing, each Revolving Lender hereby absolutely and unconditionally agrees to pay to the Administrative Agent, for account of the applicable Issuing Lender, such Revolving Lender’s Applicable Revolving Percentage of each LC Disbursement made by such Issuing Lender promptly upon the request of the Administrative Agent or such Issuing Lender at any time from the time of such LC Disbursement until such LC Disbursement is reimbursed by the Borrower or at any time after any reimbursement payment is required to be refunded to the Borrower for any reason. Each such payment shall be made in the same manner as provided in </w:t>
      </w:r>
      <w:r>
        <w:rPr>
          <w:rFonts w:ascii="Times New Roman" w:hAnsi="Times New Roman"/>
          <w:sz w:val="20"/>
          <w:u w:val="single"/>
        </w:rPr>
        <w:t>Section 1.5</w:t>
      </w:r>
      <w:r>
        <w:rPr>
          <w:rFonts w:ascii="Times New Roman" w:hAnsi="Times New Roman"/>
          <w:sz w:val="20"/>
        </w:rPr>
        <w:t xml:space="preserve"> with respect to Revolving Loans made by such Revolving Lender (and </w:t>
      </w:r>
      <w:r>
        <w:rPr>
          <w:rFonts w:ascii="Times New Roman" w:hAnsi="Times New Roman"/>
          <w:sz w:val="20"/>
          <w:u w:val="single"/>
        </w:rPr>
        <w:t>Section 1.5</w:t>
      </w:r>
      <w:r>
        <w:rPr>
          <w:rFonts w:ascii="Times New Roman" w:hAnsi="Times New Roman"/>
          <w:sz w:val="20"/>
        </w:rPr>
        <w:t xml:space="preserve"> shall apply, </w:t>
      </w:r>
      <w:r>
        <w:rPr>
          <w:rFonts w:ascii="Times New Roman" w:hAnsi="Times New Roman"/>
          <w:sz w:val="20"/>
          <w:u w:val="single"/>
        </w:rPr>
        <w:t>mutatis mutandis</w:t>
      </w:r>
      <w:r>
        <w:rPr>
          <w:rFonts w:ascii="Times New Roman" w:hAnsi="Times New Roman"/>
          <w:sz w:val="20"/>
        </w:rPr>
        <w:t xml:space="preserve">, to the payment obligations of the Revolving Lenders), and the Administrative Agent shall promptly pay to the applicable Issuing Lender the amounts so received by it from the Revolving Lenders. Promptly following receipt by the Administrative Agent of any payment from the Borrower pursuant to the next following paragraph, the Administrative Agent shall distribute such payment to the applicable Issuing Lender or, to the extent that the Revolving Lenders have made payments pursuant to this paragraph to reimburse such Issuing Lender, then to such Revolving Lenders and such Issuing Lender as their interests may appear. Any payment made by a Revolving Lender pursuant to this paragraph to reimburse the Issuing Lenders for any LC Disbursement shall not constitute a Revolving Loan and shall not relieve the Borrower of its obligation to reimburse such LC Disbursement.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Reimbursement</w:t>
      </w:r>
      <w:r>
        <w:rPr>
          <w:rFonts w:ascii="Times New Roman" w:hAnsi="Times New Roman"/>
          <w:sz w:val="20"/>
        </w:rPr>
        <w:t xml:space="preserve">. If an Issuing Lender shall make any LC Disbursement in respect of a Letter of Credit, the Borrower shall reimburse such Issuing Lender in respect of such LC Disbursement by paying to the Administrative Agent an amount equal to such LC Disbursement not later than 1:00 p.m. (New York time) on (i) the Business Day that the Borrower receives notice of such LC Disbursement, if such notice is received prior to 11:00 a.m. (New York time) or (ii) the Business Day immediately following the day that the Borrower receives such notice, if such notice is not received prior to such time; </w:t>
      </w:r>
      <w:r>
        <w:rPr>
          <w:rFonts w:ascii="Times New Roman" w:hAnsi="Times New Roman"/>
          <w:sz w:val="20"/>
          <w:u w:val="single"/>
        </w:rPr>
        <w:t>provided</w:t>
      </w:r>
      <w:r>
        <w:rPr>
          <w:rFonts w:ascii="Times New Roman" w:hAnsi="Times New Roman"/>
          <w:sz w:val="20"/>
        </w:rPr>
        <w:t xml:space="preserve"> that, anything contained in this Agreement to the contrary notwithstanding, (A) unless the Borrower shall have notified Administrative Agent and such Issuing Lender prior to 1:00 p.m. (New York City time) on the date on which the Borrower is obligated to reimburse such Issuing Lender in respect of such LC Disbursement (the “</w:t>
      </w:r>
      <w:r>
        <w:rPr>
          <w:rFonts w:ascii="Times New Roman" w:hAnsi="Times New Roman"/>
          <w:sz w:val="20"/>
          <w:u w:val="single"/>
        </w:rPr>
        <w:t>Reimbursement Date</w:t>
      </w:r>
      <w:r>
        <w:rPr>
          <w:rFonts w:ascii="Times New Roman" w:hAnsi="Times New Roman"/>
          <w:sz w:val="20"/>
        </w:rPr>
        <w:t xml:space="preserve">”) that the Borrower intends to reimburse such Issuing Lender for the amount of such payment with funds other than the proceeds of a Base Rate Borrowing, the Borrower shall be deemed to have delivered an irrevocable Borrowing Request to Administrative Agent containing all of the representations set forth in </w:t>
      </w:r>
      <w:r>
        <w:rPr>
          <w:rFonts w:ascii="Times New Roman" w:hAnsi="Times New Roman"/>
          <w:sz w:val="20"/>
          <w:u w:val="single"/>
        </w:rPr>
        <w:t>Exhibit A</w:t>
      </w:r>
      <w:r>
        <w:rPr>
          <w:rFonts w:ascii="Times New Roman" w:hAnsi="Times New Roman"/>
          <w:sz w:val="20"/>
        </w:rPr>
        <w:t xml:space="preserve"> requesting Revolving Lenders to make Base Rate Loans on the Business Day following the Reimbursement Date in an amount equal to the amount of the payment and (B) subject to satisfaction or written waiver of the conditions specified in </w:t>
      </w:r>
      <w:r>
        <w:rPr>
          <w:rFonts w:ascii="Times New Roman" w:hAnsi="Times New Roman"/>
          <w:sz w:val="20"/>
          <w:u w:val="single"/>
        </w:rPr>
        <w:t>Section 1.1</w:t>
      </w:r>
      <w:r>
        <w:rPr>
          <w:rFonts w:ascii="Times New Roman" w:hAnsi="Times New Roman"/>
          <w:sz w:val="20"/>
        </w:rPr>
        <w:t xml:space="preserve"> and </w:t>
      </w:r>
      <w:r>
        <w:rPr>
          <w:rFonts w:ascii="Times New Roman" w:hAnsi="Times New Roman"/>
          <w:sz w:val="20"/>
          <w:u w:val="single"/>
        </w:rPr>
        <w:t>5.2</w:t>
      </w:r>
      <w:r>
        <w:rPr>
          <w:rFonts w:ascii="Times New Roman" w:hAnsi="Times New Roman"/>
          <w:sz w:val="20"/>
        </w:rPr>
        <w:t xml:space="preserve"> in accordance with the terms thereof, Revolving Lenders shall, on the Reimbursement Date, make Base Rate Loans in the amount of such payment, the proceeds of which shall be applied directly by Administrative Agent to reimburse such Issuing Lender for the amount of such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Potential Default or Event of Default shall be deemed to exist by reason of a failure of the Borrower to reimburse such Issuing Lender pending the making of such Revolving Loans on the Business Day following the applicable Reimbursement Date in accordance with the terms hereof, including the prior satisfaction or written waiver of the conditions specified in </w:t>
      </w:r>
      <w:r>
        <w:rPr>
          <w:rFonts w:ascii="Times New Roman" w:hAnsi="Times New Roman"/>
          <w:sz w:val="20"/>
          <w:u w:val="single"/>
        </w:rPr>
        <w:t>Section 1.1</w:t>
      </w:r>
      <w:r>
        <w:rPr>
          <w:rFonts w:ascii="Times New Roman" w:hAnsi="Times New Roman"/>
          <w:sz w:val="20"/>
        </w:rPr>
        <w:t xml:space="preserve"> and </w:t>
      </w:r>
      <w:r>
        <w:rPr>
          <w:rFonts w:ascii="Times New Roman" w:hAnsi="Times New Roman"/>
          <w:sz w:val="20"/>
          <w:u w:val="single"/>
        </w:rPr>
        <w:t>5.2</w:t>
      </w:r>
      <w:r>
        <w:rPr>
          <w:rFonts w:ascii="Times New Roman" w:hAnsi="Times New Roman"/>
          <w:sz w:val="20"/>
        </w:rPr>
        <w:t xml:space="preserve"> in accordance with the terms thereof;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for any reason proceeds of Revolving Loans are not received by such Issuing Lender on the Business Day following the Reimbursement Date in an amount equal to the amount of such payment, the Borrower shall immediately reimburse such Issuing Lender, on demand, in an amount in same day funds equal to the excess of the amount of such payment over the aggregate amount of such Revolving Loans, if any, which are so received. If the Borrower fails to make such payment when due, the Administrative Agent shall notify each Revolving Lender of the applicable LC Disbursement, the payment then due from the Borrower in respect thereof and such Revolving Lender’s Applicable Revolving Percentage thereof. The applicable Issuing Lender shall promptly notify the Administrative Agent upon the making of each LC Disbursement.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Obligations Absolute</w:t>
      </w:r>
      <w:r>
        <w:rPr>
          <w:rFonts w:ascii="Times New Roman" w:hAnsi="Times New Roman"/>
          <w:sz w:val="20"/>
        </w:rPr>
        <w:t xml:space="preserve">. The Borrower’s obligation to reimburse LC Disbursements as provided in </w:t>
      </w:r>
      <w:r>
        <w:rPr>
          <w:rFonts w:ascii="Times New Roman" w:hAnsi="Times New Roman"/>
          <w:sz w:val="20"/>
          <w:u w:val="single"/>
        </w:rPr>
        <w:t xml:space="preserve">Section 1.4(6) </w:t>
      </w:r>
      <w:r>
        <w:rPr>
          <w:rFonts w:ascii="Times New Roman" w:hAnsi="Times New Roman"/>
          <w:sz w:val="20"/>
        </w:rPr>
        <w:t xml:space="preserve">shall be absolute, unconditional and irrevocable, and shall be performed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therein being untrue or inaccurate in any respect, (iii) payment by the applicable Issuing Lender under a Letter of Credit against presentation of a draft or other document that does not comply with the terms of such Letter of Credit, and (iv) any other event or circumstance whatsoever, whether or not similar to any of the foregoing, that might, but for the provisions of this Section, constitute a legal or equitable discharge of, or provide a right of setoff against, the Borrower’s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Neither the Administrative Agent, the Revolving Lenders nor any Issuing Lender, nor any of their Related Parties, shall have any liability or responsibility by reason of or in connection with the issuance or amendment (including any extension) of any Letter of Credit by any Issuing Lender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any Issuing Lender; </w:t>
      </w:r>
      <w:r>
        <w:rPr>
          <w:rFonts w:ascii="Times New Roman" w:hAnsi="Times New Roman"/>
          <w:sz w:val="20"/>
          <w:u w:val="single"/>
        </w:rPr>
        <w:t>provided</w:t>
      </w:r>
      <w:r>
        <w:rPr>
          <w:rFonts w:ascii="Times New Roman" w:hAnsi="Times New Roman"/>
          <w:sz w:val="20"/>
        </w:rPr>
        <w:t xml:space="preserve"> that the foregoing shall not be construed to excuse an Issuing Lender from liability to the Borrower to the extent of any direct damages (as opposed to consequential, special, indirect and/or punitive damages, claims in respect of which are hereby waived by the Borrower to the extent permitted by applicable law) suffered by the Borrower that are caused by such Issuing Lender’s gross negligence or willful misconduct (as determined by a final and non-appealable judgment of a court of competent jurisdiction) when determining whether drafts and other documents presented under a Letter of Credit comply with the terms thereof. The parties hereto expressly agree that: (i) an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(ii) an Issuing Lender shall have the right, in its sole discretion, to decline to accept such documents and to make such payment if such documents are not in strict compliance with the terms of such Letter of Credit; and (iii) this sentence and the immediately preceding sentence shall establish the standard of care to be exercised by an Issuing Lender when determining whether drafts and other documents presented under a Letter of Credit comply with the terms thereof (and the parties hereto hereby waive, to the extent permitted by applicable law, any standard of care inconsistent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Disbursement Procedures</w:t>
      </w:r>
      <w:r>
        <w:rPr>
          <w:rFonts w:ascii="Times New Roman" w:hAnsi="Times New Roman"/>
          <w:sz w:val="20"/>
        </w:rPr>
        <w:t xml:space="preserve">. The applicable Issuing Lender shall, within a reasonable time following its receipt thereof, examine all documents purporting to represent a demand for payment under a Letter of Credit issued by such Issuing Lender. Such Issuing Lender shall, promptly after such examination, notify the Administrative Agent and the Borrower by telephone (confirmed by facsimile) of such demand for payment if such Issuing Lender has made or will make an LC Disbursement thereunder;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 of its obligation to reimburse such Issuing Lender and the Revolving Lenders with respect to any such LC Disbursement.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Interim Interest</w:t>
      </w:r>
      <w:r>
        <w:rPr>
          <w:rFonts w:ascii="Times New Roman" w:hAnsi="Times New Roman"/>
          <w:sz w:val="20"/>
        </w:rPr>
        <w:t xml:space="preserve">. If an Issuing Lender shall make any LC Disbursement, then, unless the Borrower shall reimburse such LC Disbursement in full on the date Borrower receives notice that such LC Disbursement was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Borrower fails to reimburse such LC Disbursement within three (3) days when due pursuant to </w:t>
      </w:r>
      <w:r>
        <w:rPr>
          <w:rFonts w:ascii="Times New Roman" w:hAnsi="Times New Roman"/>
          <w:sz w:val="20"/>
          <w:u w:val="single"/>
        </w:rPr>
        <w:t>Section 1.4(6)</w:t>
      </w:r>
      <w:r>
        <w:rPr>
          <w:rFonts w:ascii="Times New Roman" w:hAnsi="Times New Roman"/>
          <w:sz w:val="20"/>
        </w:rPr>
        <w:t xml:space="preserve">, then </w:t>
      </w:r>
      <w:r>
        <w:rPr>
          <w:rFonts w:ascii="Times New Roman" w:hAnsi="Times New Roman"/>
          <w:sz w:val="20"/>
          <w:u w:val="single"/>
        </w:rPr>
        <w:t>Section 9.1</w:t>
      </w:r>
      <w:r>
        <w:rPr>
          <w:rFonts w:ascii="Times New Roman" w:hAnsi="Times New Roman"/>
          <w:sz w:val="20"/>
        </w:rPr>
        <w:t xml:space="preserve"> shall apply. Interest accrued pursuant to this section shall be for account of the applicable Issuing Lender, except that a pro rata portion of the interest accrued on and after the date of payment by any Revolving Lender pursuant to Section 1.4(5) to reimburse an Issuing Lender shall be for account of such Revolving Lender to the extent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Policy and Requirements of Law Limitations</w:t>
      </w:r>
      <w:r>
        <w:rPr>
          <w:rFonts w:ascii="Times New Roman" w:hAnsi="Times New Roman"/>
          <w:sz w:val="20"/>
        </w:rPr>
        <w:t xml:space="preserve">. Notwithstanding anything in this </w:t>
      </w:r>
      <w:r>
        <w:rPr>
          <w:rFonts w:ascii="Times New Roman" w:hAnsi="Times New Roman"/>
          <w:sz w:val="20"/>
          <w:u w:val="single"/>
        </w:rPr>
        <w:t>Section 1.4</w:t>
      </w:r>
      <w:r>
        <w:rPr>
          <w:rFonts w:ascii="Times New Roman" w:hAnsi="Times New Roman"/>
          <w:sz w:val="20"/>
        </w:rPr>
        <w:t xml:space="preserve"> to the contrary, an Issuing Lender may elect not to issue or amend (including extension of) a Letter of Credit hereunder to the extent that it reasonably determines that the issuance (or such amendment) of such Letter of Credit would breach, violate or be inconsistent with any Requirements of Law applicable to such Issuing Lender or would violate one or more policies of such Issuing Lender applicable to letters of credit generally. In such event, the Borrower may select an alternative Issuing Lender to issue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Cash Collateralization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Revolving Commitment Termination Date, the Borrower shall deposit into an account (the “</w:t>
      </w:r>
      <w:r>
        <w:rPr>
          <w:rFonts w:ascii="Times New Roman" w:hAnsi="Times New Roman"/>
          <w:sz w:val="20"/>
          <w:u w:val="single"/>
        </w:rPr>
        <w:t>LC Collateral Account</w:t>
      </w:r>
      <w:r>
        <w:rPr>
          <w:rFonts w:ascii="Times New Roman" w:hAnsi="Times New Roman"/>
          <w:sz w:val="20"/>
        </w:rPr>
        <w:t>”) established by the Collateral Agent an amount in cash equal to the LC Exposure with respect to the Borrower as of such date plus any accrued and unpaid interest thereon (the “</w:t>
      </w:r>
      <w:r>
        <w:rPr>
          <w:rFonts w:ascii="Times New Roman" w:hAnsi="Times New Roman"/>
          <w:sz w:val="20"/>
          <w:u w:val="single"/>
        </w:rPr>
        <w:t>Revolving Commitment Termination LC Exposure Deposit</w:t>
      </w:r>
      <w:r>
        <w:rPr>
          <w:rFonts w:ascii="Times New Roman" w:hAnsi="Times New Roman"/>
          <w:sz w:val="20"/>
        </w:rPr>
        <w:t xml:space="preserve">”). In addition: </w:t>
      </w:r>
    </w:p>
    <w:p>
      <w:pPr>
        <w:pStyle w:val="TextBody"/>
        <w:bidi w:val="0"/>
        <w:spacing w:before="120" w:after="0"/>
        <w:jc w:val="left"/>
        <w:rPr>
          <w:rFonts w:ascii="Times New Roman" w:hAnsi="Times New Roman"/>
          <w:sz w:val="20"/>
        </w:rPr>
      </w:pPr>
      <w:r>
        <w:rPr>
          <w:rFonts w:ascii="Times New Roman" w:hAnsi="Times New Roman"/>
          <w:sz w:val="20"/>
        </w:rPr>
        <w:t xml:space="preserve">(i) if an Event of Default shall occur and be continuing and the Borrower receives notice from the Administrative Agent, an Issuing Lender or the Required Lenders (or, if the maturity of the Revolving Loans has been accelerated, Revolving Lenders with LC Exposure representing more than 50% of the total LC Exposure) demanding the deposit of Cash Collateral pursuant to this paragraph the Borrower shall immediately deposit into the LC Collateral Account an amount in cash equal to the LC Exposure with respect to the Borrower as of such date plus any accrued and unpaid interest thereon; </w:t>
      </w:r>
      <w:r>
        <w:rPr>
          <w:rFonts w:ascii="Times New Roman" w:hAnsi="Times New Roman"/>
          <w:sz w:val="20"/>
          <w:u w:val="single"/>
        </w:rPr>
        <w:t>provided</w:t>
      </w:r>
      <w:r>
        <w:rPr>
          <w:rFonts w:ascii="Times New Roman" w:hAnsi="Times New Roman"/>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Party or any other Consolidated Entities described in </w:t>
      </w:r>
      <w:r>
        <w:rPr>
          <w:rFonts w:ascii="Times New Roman" w:hAnsi="Times New Roman"/>
          <w:sz w:val="20"/>
          <w:u w:val="single"/>
        </w:rPr>
        <w:t>Section 9.7</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 if at any time that there shall exist a Defaulting Lender, within one Business Day following the written request of the Administrative Agent or any Issuing Lender (with a copy to the Administrative Agent) the Borrower shall Cash Collateralize the Issuing Lenders’ LC Exposure with respect to such Defaulting Lender (only to the extent necessary as determined after giving effect to </w:t>
      </w:r>
      <w:r>
        <w:rPr>
          <w:rFonts w:ascii="Times New Roman" w:hAnsi="Times New Roman"/>
          <w:sz w:val="20"/>
          <w:u w:val="single"/>
        </w:rPr>
        <w:t>Section 1.12(1)(D))</w:t>
      </w:r>
      <w:r>
        <w:rPr>
          <w:rFonts w:ascii="Times New Roman" w:hAnsi="Times New Roman"/>
          <w:sz w:val="20"/>
        </w:rPr>
        <w:t xml:space="preserve"> in an amount in cash equal to the LC Exposure with respect to such Defaulting Lender as of such date plus any accrued and unpaid interest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deposits shall be held by the Collateral Agent, for the benefit of the Revolving Lenders, the Issuing Lenders and the Agents, in the LC Collateral Account as collateral in the first instance for the LC Exposure with respect to the Borrower under this Agreement and thereafter for the payment of the other Secured Obligations of the Borrower owing to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LC Collateral Account shall be maintained in the name of the Collateral Agent (on behalf of the Secured Parties) and under its sole dominion and control at such place as shall be designated by the Collateral Agent. Interest shall accrue on the LC Collateral Account at a rate equal to the Federal Funds Rate </w:t>
      </w:r>
      <w:r>
        <w:rPr>
          <w:rFonts w:ascii="Times New Roman" w:hAnsi="Times New Roman"/>
          <w:sz w:val="20"/>
          <w:u w:val="single"/>
        </w:rPr>
        <w:t>minus</w:t>
      </w:r>
      <w:r>
        <w:rPr>
          <w:rFonts w:ascii="Times New Roman" w:hAnsi="Times New Roman"/>
          <w:sz w:val="20"/>
        </w:rPr>
        <w:t xml:space="preserve"> 0.15% (or such other rate as may be agreed to between the Borrower and the Collateral Agent in writing). </w:t>
      </w:r>
    </w:p>
    <w:p>
      <w:pPr>
        <w:pStyle w:val="TextBody"/>
        <w:bidi w:val="0"/>
        <w:spacing w:before="240" w:after="0"/>
        <w:jc w:val="left"/>
        <w:rPr>
          <w:rFonts w:ascii="Times New Roman" w:hAnsi="Times New Roman"/>
          <w:sz w:val="20"/>
        </w:rPr>
      </w:pPr>
      <w:r>
        <w:rPr>
          <w:rFonts w:ascii="Times New Roman" w:hAnsi="Times New Roman"/>
          <w:sz w:val="20"/>
        </w:rPr>
        <w:t>(C) The Borrower hereby pledges, assigns and grants to the Collateral Agent, for the ratable benefit of the Secured Parties, a lien on and a security interest in, the following collateral (the “</w:t>
      </w:r>
      <w:r>
        <w:rPr>
          <w:rFonts w:ascii="Times New Roman" w:hAnsi="Times New Roman"/>
          <w:sz w:val="20"/>
          <w:u w:val="single"/>
        </w:rPr>
        <w:t>Letter of Credit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LC Collateral Account, all cash deposited therein and all certificates and instruments, if any, from time to time representing or evidencing the LC Collateral Account; </w:t>
      </w:r>
    </w:p>
    <w:p>
      <w:pPr>
        <w:pStyle w:val="TextBody"/>
        <w:bidi w:val="0"/>
        <w:spacing w:before="240" w:after="0"/>
        <w:jc w:val="left"/>
        <w:rPr>
          <w:rFonts w:ascii="Times New Roman" w:hAnsi="Times New Roman"/>
          <w:sz w:val="20"/>
        </w:rPr>
      </w:pPr>
      <w:r>
        <w:rPr>
          <w:rFonts w:ascii="Times New Roman" w:hAnsi="Times New Roman"/>
          <w:sz w:val="20"/>
        </w:rPr>
        <w:t xml:space="preserve">(ii) all notes, certificates of deposit and other cash-equivalent instruments from time to time hereafter delivered to or otherwise possessed by the Collateral Agent for or on behalf of the Borrower in substitution for or in respect of any or all of the then existing Letter of Credit Collateral; </w:t>
      </w:r>
    </w:p>
    <w:p>
      <w:pPr>
        <w:pStyle w:val="TextBody"/>
        <w:bidi w:val="0"/>
        <w:spacing w:before="240" w:after="0"/>
        <w:jc w:val="left"/>
        <w:rPr>
          <w:rFonts w:ascii="Times New Roman" w:hAnsi="Times New Roman"/>
          <w:sz w:val="20"/>
        </w:rPr>
      </w:pPr>
      <w:r>
        <w:rPr>
          <w:rFonts w:ascii="Times New Roman" w:hAnsi="Times New Roman"/>
          <w:sz w:val="20"/>
        </w:rPr>
        <w:t xml:space="preserve">(iii) all interest, dividends, cash, instruments and other property from time to time received, receivable or otherwise distributed in respect of or in exchange for any or all of the then existing Letter of Credit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not covered by the above clauses, all proceeds of any or all of the foregoing Letter of Credit Collateral. </w:t>
      </w:r>
    </w:p>
    <w:p>
      <w:pPr>
        <w:pStyle w:val="TextBody"/>
        <w:bidi w:val="0"/>
        <w:spacing w:before="240" w:after="0"/>
        <w:jc w:val="left"/>
        <w:rPr>
          <w:rFonts w:ascii="Times New Roman" w:hAnsi="Times New Roman"/>
          <w:sz w:val="20"/>
        </w:rPr>
      </w:pPr>
      <w:r>
        <w:rPr>
          <w:rFonts w:ascii="Times New Roman" w:hAnsi="Times New Roman"/>
          <w:sz w:val="20"/>
        </w:rPr>
        <w:t xml:space="preserve">The lien and security interest granted hereby secures the payment of all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Borrower nor any Person claiming or acting on behalf of or through the Borrower shall have any right to withdraw any of the funds held in the LC Collateral Account, except as provided in </w:t>
      </w:r>
      <w:r>
        <w:rPr>
          <w:rFonts w:ascii="Times New Roman" w:hAnsi="Times New Roman"/>
          <w:sz w:val="20"/>
          <w:u w:val="single"/>
        </w:rPr>
        <w:t>Section 1.4(11)(G)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agrees that it will not (i) sell or otherwise dispose of any interest in the Letter of Credit Collateral or (ii) create or permit to exist any lien, security interest or other charge or encumbrance upon or with respect to any of the Letter of Credit Collateral, except for the security interest created by this </w:t>
      </w:r>
      <w:r>
        <w:rPr>
          <w:rFonts w:ascii="Times New Roman" w:hAnsi="Times New Roman"/>
          <w:sz w:val="20"/>
          <w:u w:val="single"/>
        </w:rPr>
        <w:t>Section 1.4(11)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At any time an Event of Default shall be continuing: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Agent may, in its sole discretion, without notice to the Borrower except as required by law and at any time from time to time, charge, set off or otherwise apply all or any part of the LC Collateral Account to </w:t>
      </w:r>
      <w:r>
        <w:rPr>
          <w:rFonts w:ascii="Times New Roman" w:hAnsi="Times New Roman"/>
          <w:sz w:val="20"/>
          <w:u w:val="single"/>
        </w:rPr>
        <w:t>first</w:t>
      </w:r>
      <w:r>
        <w:rPr>
          <w:rFonts w:ascii="Times New Roman" w:hAnsi="Times New Roman"/>
          <w:sz w:val="20"/>
        </w:rPr>
        <w:t xml:space="preserve">, the aggregate amount of LC Disbursements that have not been reimbursed by the Borrower and </w:t>
      </w:r>
      <w:r>
        <w:rPr>
          <w:rFonts w:ascii="Times New Roman" w:hAnsi="Times New Roman"/>
          <w:sz w:val="20"/>
          <w:u w:val="single"/>
        </w:rPr>
        <w:t>second,</w:t>
      </w:r>
      <w:r>
        <w:rPr>
          <w:rFonts w:ascii="Times New Roman" w:hAnsi="Times New Roman"/>
          <w:sz w:val="20"/>
        </w:rPr>
        <w:t xml:space="preserve"> any other unpaid Secured Obligations then due and payable, in such order as the Collateral Agent shall elect. The rights of the Collateral Agent under this </w:t>
      </w:r>
      <w:r>
        <w:rPr>
          <w:rFonts w:ascii="Times New Roman" w:hAnsi="Times New Roman"/>
          <w:sz w:val="20"/>
          <w:u w:val="single"/>
        </w:rPr>
        <w:t>Section 1.4(11)</w:t>
      </w:r>
      <w:r>
        <w:rPr>
          <w:rFonts w:ascii="Times New Roman" w:hAnsi="Times New Roman"/>
          <w:sz w:val="20"/>
        </w:rPr>
        <w:t xml:space="preserve"> are in addition to any rights and remedies which any Lender may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Collateral Agent may also exercise, in its sole discretion, in respect of the LC Collateral Account, in addition to the other rights and remedies provided herein or otherwise available to it, all the rights and remedies of a secured party upon default under the UCC in effect in the State of New York at that time. </w:t>
      </w:r>
    </w:p>
    <w:p>
      <w:pPr>
        <w:pStyle w:val="TextBody"/>
        <w:bidi w:val="0"/>
        <w:spacing w:before="240" w:after="0"/>
        <w:jc w:val="left"/>
        <w:rPr>
          <w:rFonts w:ascii="Times New Roman" w:hAnsi="Times New Roman"/>
          <w:sz w:val="20"/>
        </w:rPr>
      </w:pPr>
      <w:r>
        <w:rPr>
          <w:rFonts w:ascii="Times New Roman" w:hAnsi="Times New Roman"/>
          <w:sz w:val="20"/>
        </w:rPr>
        <w:t xml:space="preserve">(G) At such time prior to the Revolving Commitment Termination Date as all Events of Default have been cured or waived in writing and there are no unreimbursed LC Disbursements outstanding or, in the case of any cash collateral provided as a result of the classification of a Lender as a Defaulting Lender, the termination of the Defaulting Lender status of the applicable Lender, all amounts remaining in the LC Collateral Account shall be promptly returned to the Borrower. For avoidance of doubt, the preceding sentence shall not affect Borrower’s obligation to make the Revolving Commitment Termination LC Exposure Deposit on the Revolving Commitment Termination Date as otherwise provided in </w:t>
      </w:r>
      <w:r>
        <w:rPr>
          <w:rFonts w:ascii="Times New Roman" w:hAnsi="Times New Roman"/>
          <w:sz w:val="20"/>
          <w:u w:val="single"/>
        </w:rPr>
        <w:t>Section 1.4(11)(A)</w:t>
      </w:r>
      <w:r>
        <w:rPr>
          <w:rFonts w:ascii="Times New Roman" w:hAnsi="Times New Roman"/>
          <w:sz w:val="20"/>
        </w:rPr>
        <w:t xml:space="preserve">. Any surplus of the funds held in the LC Collateral Account remaining after Payment in Full shall be paid to the Borrower or to whomsoever may be lawfully entitled to receive such surplus.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Resignation of an Issuing Lender</w:t>
      </w:r>
      <w:r>
        <w:rPr>
          <w:rFonts w:ascii="Times New Roman" w:hAnsi="Times New Roman"/>
          <w:sz w:val="20"/>
        </w:rPr>
        <w:t xml:space="preserve">. Any Issuing Lender may resign at any time by giving thirty (30) days’ prior written notice to the Administrative Agent, the Lenders and the Borrower so long as one or more other Issuing Lenders shall have agreed to enter into an Assignment and Acceptance Agreement with respect to the entire amount of such resigning Issuing Lender’s Letter of Credit Commitment, after which time the Letter of Credit Commitments of such Issuing Lender shall be reduced to zero.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reinstate, or increase any existing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Funding by Lenders</w:t>
      </w:r>
      <w:r>
        <w:rPr>
          <w:rFonts w:ascii="Times New Roman" w:hAnsi="Times New Roman"/>
          <w:sz w:val="20"/>
        </w:rPr>
        <w:t>. Each Lender shall make each Loan to be made by it hereunder on the proposed date thereof by wire transfer of immediately available funds to the Administrative Agent at the Contact Office, ABA No. 021-001-033, for further credit to Commercial Loan Division, Account No. 60200119, Reference: The Macerich Company (or such other account as may be designated in writing by the Administrative Agent to the Lenders from time to time), no later than 12:00 p.m. (New York time). The Administrative Agent will make such Loans available to the Borrower pursuant to the terms and conditions hereof by promptly crediting the amounts so received, in like funds, to an account of the Borrower maintained with the Administrative Agent in New York City (or any other location if agreed to by the Borrower and the Administrative Agent in writing) and designated by the Borrower in the applicable Borrowing Request;</w:t>
      </w:r>
      <w:r>
        <w:rPr>
          <w:rFonts w:ascii="Times New Roman" w:hAnsi="Times New Roman"/>
          <w:sz w:val="20"/>
          <w:u w:val="single"/>
        </w:rPr>
        <w:t xml:space="preserve"> provided</w:t>
      </w:r>
      <w:r>
        <w:rPr>
          <w:rFonts w:ascii="Times New Roman" w:hAnsi="Times New Roman"/>
          <w:sz w:val="20"/>
        </w:rPr>
        <w:t xml:space="preserve"> that Base Rate Borrowings that are Revolving Borrowings made to finance the reimbursement of an LC Disbursement as provided in </w:t>
      </w:r>
      <w:r>
        <w:rPr>
          <w:rFonts w:ascii="Times New Roman" w:hAnsi="Times New Roman"/>
          <w:sz w:val="20"/>
          <w:u w:val="single"/>
        </w:rPr>
        <w:t>Section 1.4(6)</w:t>
      </w:r>
      <w:r>
        <w:rPr>
          <w:rFonts w:ascii="Times New Roman" w:hAnsi="Times New Roman"/>
          <w:sz w:val="20"/>
        </w:rPr>
        <w:t xml:space="preserve"> shall be remitted by the Administrative Agent to the applicable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Presumption by the Administrative Agent</w:t>
      </w:r>
      <w:r>
        <w:rPr>
          <w:rFonts w:ascii="Times New Roman" w:hAnsi="Times New Roman"/>
          <w:sz w:val="20"/>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sz w:val="20"/>
          <w:u w:val="single"/>
        </w:rPr>
        <w:t>Section 1.5(1)</w:t>
      </w:r>
      <w:r>
        <w:rPr>
          <w:rFonts w:ascii="Times New Roman" w:hAnsi="Times New Roman"/>
          <w:sz w:val="2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Federal Funds Rate or (ii) in the case of a payment to be made by the Borrower, the interest rate applicable to Base Rate Loans (it being intended that such interest payment shall be the only interest payment payable by the Borrower with respect to any amount repaid by the Borrower to the Administrative Agent in accordance with this paragraph, except that </w:t>
      </w:r>
      <w:r>
        <w:rPr>
          <w:rFonts w:ascii="Times New Roman" w:hAnsi="Times New Roman"/>
          <w:sz w:val="20"/>
          <w:u w:val="single"/>
        </w:rPr>
        <w:t>Section 2.12</w:t>
      </w:r>
      <w:r>
        <w:rPr>
          <w:rFonts w:ascii="Times New Roman" w:hAnsi="Times New Roman"/>
          <w:sz w:val="20"/>
        </w:rPr>
        <w:t xml:space="preserve"> shall apply if the Borrower fails to make such repayment within three (3) days after the date of such payment as required hereunder). If such Lender pays such amount to the Administrative Agent, then such amount shall constitute such Lender’s Loan included in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Elections by the Borrower for Borrowings</w:t>
      </w:r>
      <w:r>
        <w:rPr>
          <w:rFonts w:ascii="Times New Roman" w:hAnsi="Times New Roman"/>
          <w:sz w:val="20"/>
        </w:rPr>
        <w:t xml:space="preserve">. Each Borrowing initially shall be of the Type specified in the applicable Borrowing Request and, in the case of a Term SOFR Borrowing, shall have an initial Interest Period as specified in such Borrowing Request (which shall be a period contemplated by the definition of the term “Interest Period”). Thereafter, the Borrower may elect to convert such Borrowing to a different Type or to continue such Borrowing and, in the case of a Term SOFR Borrowing, may elect Interest Periods therefor, all as provided in this Section;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any conversion or continuation of Term SOFR Loans shall be subject to the provisions of </w:t>
      </w:r>
      <w:r>
        <w:rPr>
          <w:rFonts w:ascii="Times New Roman" w:hAnsi="Times New Roman"/>
          <w:sz w:val="20"/>
          <w:u w:val="single"/>
        </w:rPr>
        <w:t>Sections 1.2(3)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The Borrower may elect different options with respect to different portions of the affected Borrowing, in which case each such portion shall be allocated ratably among the Revolving Lenders holding the Revolving Loans comprising such Borrowing in accordance with each such Lender’s Applicable Revolving Percentage thereof, and the Loans comprising each such portion shall be considered a separate Borrowing.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Notice of Elections</w:t>
      </w:r>
      <w:r>
        <w:rPr>
          <w:rFonts w:ascii="Times New Roman" w:hAnsi="Times New Roman"/>
          <w:sz w:val="20"/>
        </w:rPr>
        <w:t xml:space="preserve">. To make an election pursuant to this Section, the Borrower shall notify the Administrative Agent in writing of such election (which notice may be by electronic mail in accordance herewith) by the time that a Borrowing Request would be required under </w:t>
      </w:r>
      <w:r>
        <w:rPr>
          <w:rFonts w:ascii="Times New Roman" w:hAnsi="Times New Roman"/>
          <w:sz w:val="20"/>
          <w:u w:val="single"/>
        </w:rPr>
        <w:t>Section 1.3</w:t>
      </w:r>
      <w:r>
        <w:rPr>
          <w:rFonts w:ascii="Times New Roman" w:hAnsi="Times New Roman"/>
          <w:sz w:val="20"/>
        </w:rPr>
        <w:t xml:space="preserve"> if the Borrower was requesting a Borrowing of the Type resulting from such election to be made on the effective date of such election. Each such Rate Request shall be irrevocable, shall be signed by a Responsible Officer and shall be in the form of </w:t>
      </w:r>
      <w:r>
        <w:rPr>
          <w:rFonts w:ascii="Times New Roman" w:hAnsi="Times New Roman"/>
          <w:sz w:val="20"/>
          <w:u w:val="single"/>
        </w:rPr>
        <w:t>Exhibit C</w:t>
      </w:r>
      <w:r>
        <w:rPr>
          <w:rFonts w:ascii="Times New Roman" w:hAnsi="Times New Roman"/>
          <w:sz w:val="20"/>
        </w:rPr>
        <w:t xml:space="preserve"> hereto (or such other form as may be acceptable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Information in Interest Election Requests</w:t>
      </w:r>
      <w:r>
        <w:rPr>
          <w:rFonts w:ascii="Times New Roman" w:hAnsi="Times New Roman"/>
          <w:sz w:val="20"/>
        </w:rPr>
        <w:t xml:space="preserve">. Each Rate Request shall specify the following information in compliance with </w:t>
      </w:r>
      <w:r>
        <w:rPr>
          <w:rFonts w:ascii="Times New Roman" w:hAnsi="Times New Roman"/>
          <w:sz w:val="20"/>
          <w:u w:val="single"/>
        </w:rPr>
        <w:t>Section 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Rate Request applies and, if different options are being elected with respect to different portions thereof, the portions thereof to be allocated to each resulting Borrowing (in which case the information to be specified pursuant to </w:t>
      </w:r>
      <w:r>
        <w:rPr>
          <w:rFonts w:ascii="Times New Roman" w:hAnsi="Times New Roman"/>
          <w:sz w:val="20"/>
          <w:u w:val="single"/>
        </w:rPr>
        <w:t>clauses (iii)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this section shall be specified for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(ii) the effective date of the election made pursuant to such Rate Request, which shall be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(iii) whether the resulting Borrowing is to be a Base Rate Borrowing or a Term SOFR Borrowing; and </w:t>
      </w:r>
    </w:p>
    <w:p>
      <w:pPr>
        <w:pStyle w:val="TextBody"/>
        <w:bidi w:val="0"/>
        <w:spacing w:before="240" w:after="0"/>
        <w:jc w:val="left"/>
        <w:rPr>
          <w:rFonts w:ascii="Times New Roman" w:hAnsi="Times New Roman"/>
          <w:sz w:val="20"/>
        </w:rPr>
      </w:pPr>
      <w:r>
        <w:rPr>
          <w:rFonts w:ascii="Times New Roman" w:hAnsi="Times New Roman"/>
          <w:sz w:val="20"/>
        </w:rPr>
        <w:t xml:space="preserve">(iv) if the resulting Borrowing is a Term SOFR Borrowing,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Rate Request requests a Term SOFR Borrowing but does not specify an Interest Period, then the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Notice by the Administrative Agent to Lenders</w:t>
      </w:r>
      <w:r>
        <w:rPr>
          <w:rFonts w:ascii="Times New Roman" w:hAnsi="Times New Roman"/>
          <w:sz w:val="20"/>
        </w:rPr>
        <w:t xml:space="preserve">. Promptly following receipt of a Rate Request, the Administrative Agent shall advise each applicable Lender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Failure to Elect; Potential Default and Events of Default</w:t>
      </w:r>
      <w:r>
        <w:rPr>
          <w:rFonts w:ascii="Times New Roman" w:hAnsi="Times New Roman"/>
          <w:sz w:val="20"/>
        </w:rPr>
        <w:t xml:space="preserve">. If the Borrower fails to deliver a timely Rate Request with respect to a Term SOFR Borrowing prior to the end of the Interest Period applicable thereto, then, unless such Borrowing is repaid as provided herein, at the end of such Interest Period such Borrowing shall be converted to a Term SOFR Borrowing with a one month Interest Period so long as no Potential Default or Event of Default is continuing and otherwise to a Base Rate Borrowing. Notwithstanding any contrary provision hereof, if a Potential Default or an Event of Default has occurred and is continuing on the day occurring three Business Days prior to the date of, or on the date of, the requested funding, continuation or conversion, then, so long as a Potential Default or an Event of Default is continuing (i) no outstanding Borrowing may be converted to or continued as a Term SOFR Borrowing and (ii) unless repaid, each Term SOFR Borrowing shall be converted to a Base Rate Borrowing at the end of the Interest Period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Termination, Reduction and Extension of the Revolving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Scheduled Termination</w:t>
      </w:r>
      <w:r>
        <w:rPr>
          <w:rFonts w:ascii="Times New Roman" w:hAnsi="Times New Roman"/>
          <w:sz w:val="20"/>
        </w:rPr>
        <w:t xml:space="preserve">. Unless previously terminated, the Revolving Commitments shall terminate at 5:00 p.m., New York City time, on the Revolving Commitment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Voluntary Termination or Reduction</w:t>
      </w:r>
      <w:r>
        <w:rPr>
          <w:rFonts w:ascii="Times New Roman" w:hAnsi="Times New Roman"/>
          <w:sz w:val="20"/>
        </w:rPr>
        <w:t xml:space="preserve">. The Borrower may at any time terminate, or from time to time reduce, the Revolving Commitments; </w:t>
      </w:r>
      <w:r>
        <w:rPr>
          <w:rFonts w:ascii="Times New Roman" w:hAnsi="Times New Roman"/>
          <w:sz w:val="20"/>
          <w:u w:val="single"/>
        </w:rPr>
        <w:t>provided</w:t>
      </w:r>
      <w:r>
        <w:rPr>
          <w:rFonts w:ascii="Times New Roman" w:hAnsi="Times New Roman"/>
          <w:sz w:val="20"/>
        </w:rPr>
        <w:t xml:space="preserve"> that (i) each reduction of the Revolving Commitments shall be in an amount that is $5,000,000 or a larger </w:t>
      </w:r>
    </w:p>
    <w:p>
      <w:pPr>
        <w:pStyle w:val="TextBody"/>
        <w:bidi w:val="0"/>
        <w:spacing w:before="240" w:after="0"/>
        <w:jc w:val="left"/>
        <w:rPr>
          <w:rFonts w:ascii="Times New Roman" w:hAnsi="Times New Roman"/>
          <w:sz w:val="20"/>
        </w:rPr>
      </w:pPr>
      <w:r>
        <w:rPr>
          <w:rFonts w:ascii="Times New Roman" w:hAnsi="Times New Roman"/>
          <w:sz w:val="20"/>
        </w:rPr>
        <w:t xml:space="preserve">multiple of $1,000,000 and (ii) the Borrower shall not terminate or reduce the Revolving Commitments if, after giving effect to any concurrent prepayment or repayment of the Revolving Loans in accordance with </w:t>
      </w:r>
      <w:r>
        <w:rPr>
          <w:rFonts w:ascii="Times New Roman" w:hAnsi="Times New Roman"/>
          <w:sz w:val="20"/>
          <w:u w:val="single"/>
        </w:rPr>
        <w:t>Section 1.9</w:t>
      </w:r>
      <w:r>
        <w:rPr>
          <w:rFonts w:ascii="Times New Roman" w:hAnsi="Times New Roman"/>
          <w:sz w:val="20"/>
        </w:rPr>
        <w:t xml:space="preserve">, the total Revolving Credit Exposures would exceed the total Revolving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Notice of Voluntary Termination or Reduction</w:t>
      </w:r>
      <w:r>
        <w:rPr>
          <w:rFonts w:ascii="Times New Roman" w:hAnsi="Times New Roman"/>
          <w:sz w:val="20"/>
        </w:rPr>
        <w:t xml:space="preserve">. The Borrower shall notify the Administrative Agent of any election to terminate or reduce the Revolving Commitments under </w:t>
      </w:r>
      <w:r>
        <w:rPr>
          <w:rFonts w:ascii="Times New Roman" w:hAnsi="Times New Roman"/>
          <w:sz w:val="20"/>
          <w:u w:val="single"/>
        </w:rPr>
        <w:t>Section 1.7(2)</w:t>
      </w:r>
      <w:r>
        <w:rPr>
          <w:rFonts w:ascii="Times New Roman" w:hAnsi="Times New Roman"/>
          <w:sz w:val="20"/>
        </w:rPr>
        <w:t xml:space="preserve"> above at least three Business Days prior to the effective date of such termination or reduction, specifying such election and the effective date thereof. Promptly following receipt of any notice, the Administrative Agent shall advise the Revolving Lenders of the contents thereof. Each notice delivered by the Borrower pursuant to this Section shall be irrevocable; </w:t>
      </w:r>
      <w:r>
        <w:rPr>
          <w:rFonts w:ascii="Times New Roman" w:hAnsi="Times New Roman"/>
          <w:sz w:val="20"/>
          <w:u w:val="single"/>
        </w:rPr>
        <w:t>provided</w:t>
      </w:r>
      <w:r>
        <w:rPr>
          <w:rFonts w:ascii="Times New Roman" w:hAnsi="Times New Roman"/>
          <w:sz w:val="20"/>
        </w:rPr>
        <w:t xml:space="preserve"> that a notice of termination of the Revolving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Effect of Termination or Reduction</w:t>
      </w:r>
      <w:r>
        <w:rPr>
          <w:rFonts w:ascii="Times New Roman" w:hAnsi="Times New Roman"/>
          <w:sz w:val="20"/>
        </w:rPr>
        <w:t xml:space="preserve">. Any termination or reduction of the Revolving Commitments shall be permanent; </w:t>
      </w:r>
      <w:r>
        <w:rPr>
          <w:rFonts w:ascii="Times New Roman" w:hAnsi="Times New Roman"/>
          <w:sz w:val="20"/>
          <w:u w:val="single"/>
        </w:rPr>
        <w:t>provided</w:t>
      </w:r>
      <w:r>
        <w:rPr>
          <w:rFonts w:ascii="Times New Roman" w:hAnsi="Times New Roman"/>
          <w:sz w:val="20"/>
        </w:rPr>
        <w:t xml:space="preserve"> that any such termination or reduction shall not reduce the Maximum Increase Amount. Each reduction of the Revolving Commitments shall be made ratably among the Revolving Lenders in accordance with their respective Revolving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Extension of Revolving Commitment Termination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Borrower shall have the option, subject to the terms and conditions set forth in this clause (5), to extend the Initial Revolving Commitment Termination Date by twelve (12) months to March 1, 2030 (the “</w:t>
      </w:r>
      <w:r>
        <w:rPr>
          <w:rFonts w:ascii="Times New Roman" w:hAnsi="Times New Roman"/>
          <w:sz w:val="20"/>
          <w:u w:val="single"/>
        </w:rPr>
        <w:t>Extended Revolving Commitment Termination Date</w:t>
      </w:r>
      <w:r>
        <w:rPr>
          <w:rFonts w:ascii="Times New Roman" w:hAnsi="Times New Roman"/>
          <w:sz w:val="20"/>
        </w:rPr>
        <w:t>” and such option, the “</w:t>
      </w:r>
      <w:r>
        <w:rPr>
          <w:rFonts w:ascii="Times New Roman" w:hAnsi="Times New Roman"/>
          <w:sz w:val="20"/>
          <w:u w:val="single"/>
        </w:rPr>
        <w:t>Extension Option</w:t>
      </w:r>
      <w:r>
        <w:rPr>
          <w:rFonts w:ascii="Times New Roman" w:hAnsi="Times New Roman"/>
          <w:sz w:val="20"/>
        </w:rPr>
        <w:t>”). In order to exercise the Extension Option, the Borrower must deliver written notice (the “</w:t>
      </w:r>
      <w:r>
        <w:rPr>
          <w:rFonts w:ascii="Times New Roman" w:hAnsi="Times New Roman"/>
          <w:sz w:val="20"/>
          <w:u w:val="single"/>
        </w:rPr>
        <w:t>Extension Notice</w:t>
      </w:r>
      <w:r>
        <w:rPr>
          <w:rFonts w:ascii="Times New Roman" w:hAnsi="Times New Roman"/>
          <w:sz w:val="20"/>
        </w:rPr>
        <w:t>”) to the Administrative Agent at least thirty (30) days (but no more than ninety (90) days) prior to the Initial Revolving Commitment Termination Date (the date of delivery of the Extension Notice to the Administrative Agent, the “</w:t>
      </w:r>
      <w:r>
        <w:rPr>
          <w:rFonts w:ascii="Times New Roman" w:hAnsi="Times New Roman"/>
          <w:sz w:val="20"/>
          <w:u w:val="single"/>
        </w:rPr>
        <w:t>Extension Notice Date</w:t>
      </w:r>
      <w:r>
        <w:rPr>
          <w:rFonts w:ascii="Times New Roman" w:hAnsi="Times New Roman"/>
          <w:sz w:val="20"/>
        </w:rPr>
        <w:t xml:space="preserve">”), which Extension Notice shall include a certification from the Borrower that no Event of Default has occurred and is continuing as of the Extension Notice Date. </w:t>
      </w:r>
    </w:p>
    <w:p>
      <w:pPr>
        <w:pStyle w:val="TextBody"/>
        <w:bidi w:val="0"/>
        <w:spacing w:before="240" w:after="0"/>
        <w:jc w:val="left"/>
        <w:rPr>
          <w:rFonts w:ascii="Times New Roman" w:hAnsi="Times New Roman"/>
          <w:sz w:val="20"/>
        </w:rPr>
      </w:pPr>
      <w:r>
        <w:rPr>
          <w:rFonts w:ascii="Times New Roman" w:hAnsi="Times New Roman"/>
          <w:sz w:val="20"/>
        </w:rPr>
        <w:t xml:space="preserve">(B) The extension of the Initial Revolving Commitment Termination Date to the Extended Revolving Commitment Termination Date shall be subject to the prior (or concurrent) satisfaction of each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shall have paid to the Administrative Agent for the ratable benefit of the Revolving Lenders (excluding any Defaulting Lender) an extension fee equal to 0.25% of the total Revolving Commitments outstanding as of the Initial Revolving Commitment Termination Date (excluding such Defaulting Lender’s portion of the Revolving Commitment to the extent not reallocated to Non-Defaulting Lenders) which fee the Borrower hereby agrees shall be fully earned and nonrefundable under any circumstances when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on or within three (3) Business Days prior to the Initial Revolving Commitment Termination Date, the Borrower shall have delivered to the Administrative Agent a certificate signed by a duly authorized officer of the Borrower, dated as of the Initial Revolving Commitment Termination Date (“</w:t>
      </w:r>
      <w:r>
        <w:rPr>
          <w:rFonts w:ascii="Times New Roman" w:hAnsi="Times New Roman"/>
          <w:sz w:val="20"/>
          <w:u w:val="single"/>
        </w:rPr>
        <w:t>Extension Certificate</w:t>
      </w:r>
      <w:r>
        <w:rPr>
          <w:rFonts w:ascii="Times New Roman" w:hAnsi="Times New Roman"/>
          <w:sz w:val="20"/>
        </w:rPr>
        <w:t xml:space="preserve">”) containing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certification by the Borrower that, as of the Initial Revolving Commitment Termination Date, (x) no Potential Default or Event of Default has occurred and is continuing or would result from such extension, and (y) the representations and warranties made by the Borrower Parties in the Loan Documents are true and correct in all material respects (except for changes in factual circumstances not prohibited under the Loan Documents and except further that, in the event any exception or disclosure schedule provided to Administrative Agent in connection with such representations and warranties is proposed by the Borrower to be updated, any such updates (other than to reflect changes in factual circumstances not prohibited under the Loan Documents) shall be non-material and shall be approved by the Administrative Agent in its good faith judgment) on and as of the Initial Revolving Commitment Termination Date (or, if any such representation or warranty is expressly stated to have been made as of a specific date, as of such specific date); </w:t>
      </w:r>
      <w:r>
        <w:rPr>
          <w:rFonts w:ascii="Times New Roman" w:hAnsi="Times New Roman"/>
          <w:sz w:val="20"/>
          <w:u w:val="single"/>
        </w:rPr>
        <w:t>provided however</w:t>
      </w:r>
      <w:r>
        <w:rPr>
          <w:rFonts w:ascii="Times New Roman" w:hAnsi="Times New Roman"/>
          <w:sz w:val="20"/>
        </w:rPr>
        <w:t xml:space="preserve">, that any representation or warranty that is qualified as to materiality or Material Adverse Effect or similar language shall be true and correct in all respects subject to such qualifiers; </w:t>
      </w:r>
    </w:p>
    <w:p>
      <w:pPr>
        <w:pStyle w:val="TextBody"/>
        <w:bidi w:val="0"/>
        <w:spacing w:before="120" w:after="0"/>
        <w:jc w:val="left"/>
        <w:rPr>
          <w:rFonts w:ascii="Times New Roman" w:hAnsi="Times New Roman"/>
          <w:sz w:val="20"/>
        </w:rPr>
      </w:pPr>
      <w:r>
        <w:rPr>
          <w:rFonts w:ascii="Times New Roman" w:hAnsi="Times New Roman"/>
          <w:sz w:val="20"/>
        </w:rPr>
        <w:t xml:space="preserve">(b) an acknowledgement, reaffirmation and ratification, on behalf of the Borrower Parties, that all obligations (and prior grants of security interests not previously released in accordance herewith) of the Borrower Parties under the Loan Documents, as extended, as of the Initial Revolving Commitment Termination Date,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(c) as an attachment thereto, a Compliance Certificate (with reasonably detailed calculations) demonstrating that MAC and the Borrower are in compliance with (A) the covenants set forth in </w:t>
      </w:r>
      <w:r>
        <w:rPr>
          <w:rFonts w:ascii="Times New Roman" w:hAnsi="Times New Roman"/>
          <w:sz w:val="20"/>
          <w:u w:val="single"/>
        </w:rPr>
        <w:t>Section 8.11</w:t>
      </w:r>
      <w:r>
        <w:rPr>
          <w:rFonts w:ascii="Times New Roman" w:hAnsi="Times New Roman"/>
          <w:sz w:val="20"/>
        </w:rPr>
        <w:t xml:space="preserve"> that are in effect as of the Initial Revolving Commitment Termination Date, as of the last day of the most recently ended Fiscal Quarter for which financial statements were required to have been delivered pursuant to </w:t>
      </w:r>
      <w:r>
        <w:rPr>
          <w:rFonts w:ascii="Times New Roman" w:hAnsi="Times New Roman"/>
          <w:sz w:val="20"/>
          <w:u w:val="single"/>
        </w:rPr>
        <w:t>Section 7.1</w:t>
      </w:r>
      <w:r>
        <w:rPr>
          <w:rFonts w:ascii="Times New Roman" w:hAnsi="Times New Roman"/>
          <w:sz w:val="20"/>
        </w:rPr>
        <w:t xml:space="preserve"> and (B) a Debt Yield, as of the last day of the most recently ended Fiscal Quarter for which financial statements were required to be delivered pursuant to </w:t>
      </w:r>
      <w:r>
        <w:rPr>
          <w:rFonts w:ascii="Times New Roman" w:hAnsi="Times New Roman"/>
          <w:sz w:val="20"/>
          <w:u w:val="single"/>
        </w:rPr>
        <w:t>Section 7.1</w:t>
      </w:r>
      <w:r>
        <w:rPr>
          <w:rFonts w:ascii="Times New Roman" w:hAnsi="Times New Roman"/>
          <w:sz w:val="20"/>
        </w:rPr>
        <w:t xml:space="preserve">, of not less than 14.50%; and </w:t>
      </w:r>
    </w:p>
    <w:p>
      <w:pPr>
        <w:pStyle w:val="TextBody"/>
        <w:bidi w:val="0"/>
        <w:spacing w:before="120" w:after="0"/>
        <w:jc w:val="left"/>
        <w:rPr>
          <w:rFonts w:ascii="Times New Roman" w:hAnsi="Times New Roman"/>
          <w:sz w:val="20"/>
        </w:rPr>
      </w:pPr>
      <w:r>
        <w:rPr>
          <w:rFonts w:ascii="Times New Roman" w:hAnsi="Times New Roman"/>
          <w:sz w:val="20"/>
        </w:rPr>
        <w:t xml:space="preserve">(d) as an attachment thereto, a Borrowing Base Certificate as of the Initial Revolving Commitment Termination Date showing reasonably detailed calculations of the Borrowing Base Amount and the Borrowing Base Values.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Borrower’s delivery of the Extension Certificate shall satisfy the requirements of this clause (ii) unless (x) the certification of the Borrower required pursuant to the immediately preceding clause (a) is made in manifest error, (y) any Borrower Party has actual knowledge on or prior to the Initial Revolving Commitment Termination Date that the certification of the Borrower pursuant to the immediately preceding clause (a) is inaccurate, or (z) the Administrative Agent notifies the Borrower in writing (including email) on or prior to the Initial Revolving Commitment Termination Date that the certification of the Borrower pursuant to the immediately preceding clause (a) is inaccurate (i.e., because either (A) a Potential Default or Event of Default has occurred and is continuing or would result from such extension or (B) the representations and warranties described in clause (ii)(a)(Y) are inaccurate, in which case this clause (ii) shall not be satisfied and the extension of the Initial Revolving Commitment Termination Date shall not be effective. </w:t>
      </w:r>
    </w:p>
    <w:p>
      <w:pPr>
        <w:pStyle w:val="TextBody"/>
        <w:bidi w:val="0"/>
        <w:spacing w:before="120" w:after="0"/>
        <w:jc w:val="left"/>
        <w:rPr>
          <w:rFonts w:ascii="Times New Roman" w:hAnsi="Times New Roman"/>
          <w:sz w:val="20"/>
        </w:rPr>
      </w:pPr>
      <w:r>
        <w:rPr>
          <w:rFonts w:ascii="Times New Roman" w:hAnsi="Times New Roman"/>
          <w:sz w:val="20"/>
        </w:rPr>
        <w:t xml:space="preserve">(iii) to the extent invoiced at least three (3) Business Days prior to the Initial Revolving Commitment Termination Date, the Borrower shall have paid all reasonable out-of-pocket costs and expenses incurred by the Administrative Agent and the Collateral Agent and all reasonable fees and expenses paid to third party consultants (including reasonable attorneys’ fees and expenses) by the Administrative Agent and/or the Collateral Agent in connection with such extension; and </w:t>
      </w:r>
    </w:p>
    <w:p>
      <w:pPr>
        <w:pStyle w:val="TextBody"/>
        <w:bidi w:val="0"/>
        <w:spacing w:before="120" w:after="0"/>
        <w:jc w:val="left"/>
        <w:rPr>
          <w:rFonts w:ascii="Times New Roman" w:hAnsi="Times New Roman"/>
          <w:sz w:val="20"/>
        </w:rPr>
      </w:pPr>
      <w:r>
        <w:rPr>
          <w:rFonts w:ascii="Times New Roman" w:hAnsi="Times New Roman"/>
          <w:sz w:val="20"/>
        </w:rPr>
        <w:t xml:space="preserve">(iv) (a) solely to the extent required by any Requirements of Law to maintain the enforceability and/or priority of any Mortgage in respect of a Mortgaged Property, the Borrower Parties shall have delivered to the Administrative Agent (I) an amendment to such Mortgage extending the Initial Revolving Commitment Termination Date and such other amendments as reasonably required by the Administrative Agent, (II) title insurance endorsements to the title policy for such Mortgaged Property (to the extent available in the applicable jurisdiction) insuring that the insured’s Lien continues in full force and effect subject only to Permitted Encumbrances, as reasonably required by Administrative Agent and (III) evidence satisfactory to the Administrative Agent that all premiums in respect of any title insurance endorsements referred to in the foregoing clause (II), all charges for additional mortgage recording tax, if any, and all related expenses for such Mortgaged Property, as reasonably determined by the Administrative Agent, have been paid and (b) solely to the extent requested by the Administrative Agent (or any Lender acting through the Administrative Agent) prior to the Initial Revolving Commitment Termination Date with respect to any Mortgaged Property, the Borrower Parties shall have delivered (or caused to be delivered) to the Administrative Agent the documentation and information required under clause (viii) of the definition of Mortgaged Property Deliverables with respect to such Mortgaged Property. The Administrative Agent shall use commercially reasonable efforts to (A) determine whether any of the items set forth in clause (a) above are required and/or whether it or any Lender will require the items set forth in clause (b) above and (B) if applicable, request such items from the Borrower within 10 Business Days after the Administrative Agent receives the Extension Notice.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notify each of the Revolving Lenders in the event that the Borrower delivers an Extension Notice as provided in this </w:t>
      </w:r>
      <w:r>
        <w:rPr>
          <w:rFonts w:ascii="Times New Roman" w:hAnsi="Times New Roman"/>
          <w:sz w:val="20"/>
          <w:u w:val="single"/>
        </w:rPr>
        <w:t>Section 1.7(5)</w:t>
      </w:r>
      <w:r>
        <w:rPr>
          <w:rFonts w:ascii="Times New Roman" w:hAnsi="Times New Roman"/>
          <w:sz w:val="20"/>
        </w:rPr>
        <w:t xml:space="preserve"> and upon the effectiveness of the extension of the Initial Revolving Commitment Termination Date to the Extended Revolving Commitment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requested by the Administrative Agent in connection with the Borrower’s exercise of the Extension Option, the Borrower Parties shall, at their own expense, promptly deliver to the Administrative Agent an updated Appraisal with respect to any Borrowing Base Mortgaged Property Asset that has a most recent Appraisal in excess of one year old; provided that (i) such Appraisals shall be provided for informational purposes only and the values set forth therein shall not impact the Borrower’s right to extend the Initial Revolving Commitment Termination Date as set forth above (or otherwise) and (ii) the delivery of such Appraisals shall not constitute a condition precedent to the effectiveness of the extension of the Initial Revolving Commitment Termination Date to the Extended Revolving Commitment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Manner of Payment of Loans; 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Repayment at Maturity</w:t>
      </w:r>
      <w:r>
        <w:rPr>
          <w:rFonts w:ascii="Times New Roman" w:hAnsi="Times New Roman"/>
          <w:sz w:val="20"/>
        </w:rPr>
        <w:t xml:space="preserve">. Subject to any earlier acceleration of the Revolving Loans following an Event of Default, the Borrower hereby unconditionally promises to pay to the Administrative Agent for account of the Revolving Lenders the outstanding principal amount of the Revolving Loans on the Revolving Commitment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Payment</w:t>
      </w:r>
      <w:r>
        <w:rPr>
          <w:rFonts w:ascii="Times New Roman" w:hAnsi="Times New Roman"/>
          <w:sz w:val="20"/>
        </w:rPr>
        <w:t xml:space="preserve">. The Borrower shall notify the Administrative Agent in writing (which notice may be by electronic mail in accordance herewith) of any repayment or prepayment hereunder (i) in the case of repayment or prepayment of a Term SOFR Borrowing with an Interest Period not expiring on the date of payment, not later than 2:00 p.m. (New York time) one Business Day before the date of repayment or prepayment, or (ii) in the case of repayment or prepayment of a Term SOFR Borrowing with Interest Periods expiring on the date of repayment or prepayment or a Base Rate Borrowing, not later than 1:00 p.m. (New York time) one Business Day before the date of repayment or prepayment. Each such notice shall be irrevocable and shall specify the repayment or prepayment date and the principal amount of each Borrowing or portion thereof to be repaid or prepaid; </w:t>
      </w:r>
      <w:r>
        <w:rPr>
          <w:rFonts w:ascii="Times New Roman" w:hAnsi="Times New Roman"/>
          <w:sz w:val="20"/>
          <w:u w:val="single"/>
        </w:rPr>
        <w:t>provided</w:t>
      </w:r>
      <w:r>
        <w:rPr>
          <w:rFonts w:ascii="Times New Roman" w:hAnsi="Times New Roman"/>
          <w:sz w:val="20"/>
        </w:rPr>
        <w:t xml:space="preserve"> that, if a notice of repayment or prepayment is given in connection with a conditional notice of termination of the Revolving Commitments as contemplated by </w:t>
      </w:r>
      <w:r>
        <w:rPr>
          <w:rFonts w:ascii="Times New Roman" w:hAnsi="Times New Roman"/>
          <w:sz w:val="20"/>
          <w:u w:val="single"/>
        </w:rPr>
        <w:t>Section 1.7</w:t>
      </w:r>
      <w:r>
        <w:rPr>
          <w:rFonts w:ascii="Times New Roman" w:hAnsi="Times New Roman"/>
          <w:sz w:val="20"/>
        </w:rPr>
        <w:t xml:space="preserve">, then such notice of repayment or prepayment may be revoked if such notice of termination is revoked in accordance with </w:t>
      </w:r>
      <w:r>
        <w:rPr>
          <w:rFonts w:ascii="Times New Roman" w:hAnsi="Times New Roman"/>
          <w:sz w:val="20"/>
          <w:u w:val="single"/>
        </w:rPr>
        <w:t>Section 1.7</w:t>
      </w:r>
      <w:r>
        <w:rPr>
          <w:rFonts w:ascii="Times New Roman" w:hAnsi="Times New Roman"/>
          <w:sz w:val="20"/>
        </w:rPr>
        <w:t xml:space="preserve">. Promptly following receipt of any such notice relating to a Borrowing, the Administrative Agent shall advise the Lenders of the Loans included in such Borrowing of the contents thereof. Each repayment or prepayment of a Borrowing shall be applied ratably to the Loans included in the repaid or prepaid Borrowing. Repayments and prepayments shall be accompanied by (A) accrued interest and (B) any payments due pursuant to </w:t>
      </w:r>
      <w:r>
        <w:rPr>
          <w:rFonts w:ascii="Times New Roman" w:hAnsi="Times New Roman"/>
          <w:sz w:val="20"/>
          <w:u w:val="single"/>
        </w:rPr>
        <w:t>Section 2.9</w:t>
      </w:r>
      <w:r>
        <w:rPr>
          <w:rFonts w:ascii="Times New Roman" w:hAnsi="Times New Roman"/>
          <w:sz w:val="20"/>
        </w:rPr>
        <w:t xml:space="preserve">. If the Borrower fails to make a timely selection of the Borrowing or Borrowings to be repaid or prepaid, such payment shall be applied, first, to pay any outstanding Base Rate Borrowings and, second, to other Borrowings in the order of the remaining duration of their respective Interest Periods (the Borrowing with the shortest remaining Interest Period to be repaid first).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Maintenance of Loan Accounts by Lenders</w:t>
      </w:r>
      <w:r>
        <w:rPr>
          <w:rFonts w:ascii="Times New Roman" w:hAnsi="Times New Roman"/>
          <w:sz w:val="20"/>
        </w:rPr>
        <w:t xml:space="preserve">.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Maintenance of Register by the Administrative Agent</w:t>
      </w:r>
      <w:r>
        <w:rPr>
          <w:rFonts w:ascii="Times New Roman" w:hAnsi="Times New Roman"/>
          <w:sz w:val="20"/>
        </w:rPr>
        <w:t>. The Administrative Agent shall maintain a register in which it shall record the names and addresses of Lenders and Issuing Lenders and the Commitments, Letter of Credit Commitments, the principal amounts of (and stated interest on) the Loans of each Lender and the available balance of outstanding Letters of Credit of each Issuing Lender from time to time (the “</w:t>
      </w:r>
      <w:r>
        <w:rPr>
          <w:rFonts w:ascii="Times New Roman" w:hAnsi="Times New Roman"/>
          <w:sz w:val="20"/>
          <w:u w:val="single"/>
        </w:rPr>
        <w:t>Register</w:t>
      </w:r>
      <w:r>
        <w:rPr>
          <w:rFonts w:ascii="Times New Roman" w:hAnsi="Times New Roman"/>
          <w:sz w:val="20"/>
        </w:rPr>
        <w:t xml:space="preserve">”). The Register shall be available for inspection at the Administrative Agent’s notice address or by email upon request by Borrower, any Lender (with respect to any entry relating to such Lender’s Loans) or any Issuing Lender (with respect to any entry relating to Letters of Credit issued by such Issuing Lender) at any reasonable time and from time to time upon reasonable prior notice. Administrative Agent shall record, or shall cause to be recorded, in the Register the Commitments and the Loans in accordance with the provisions of Section 10.6, and each repayment or prepayment in respect of the principal amount of the Loans, and any such recordation shall be conclusive and binding on Borrower and each Lender, absent manifest error; provided that the failure to make any such recordation, or any error in such recordation, shall not affect any Lender’s Commitments or Loans or Borrower’s Obligations in respect of any Loan. Borrower hereby designates Administrative Agent to serve as Borrower’s non-fiduciary agent solely for purposes of maintaining the Register as provided in this Section 1.8(4), and Borrower hereby agrees that, to the extent Administrative Agent serves in such capacity, Administrative Agent and its officers, directors, employees, agents, sub-agents and affiliates shall constitute “Indemnified Persons.”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Effect of Entries</w:t>
      </w:r>
      <w:r>
        <w:rPr>
          <w:rFonts w:ascii="Times New Roman" w:hAnsi="Times New Roman"/>
          <w:sz w:val="20"/>
        </w:rPr>
        <w:t xml:space="preserve">. The entries made in the accounts maintained pursuant to Sections 1.8(3) and (4) above shall be prima facie evidence of the existence and amounts of the obligations recorded therein; provided that the failure of any Lender or the Administrative Agent to maintain such accounts or any error therein shall not in any manner affect the obligation of the Borrower to repay the Loans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Promissory Notes</w:t>
      </w:r>
      <w:r>
        <w:rPr>
          <w:rFonts w:ascii="Times New Roman" w:hAnsi="Times New Roman"/>
          <w:sz w:val="20"/>
        </w:rPr>
        <w:t xml:space="preserve">. Upon the request of a Revolving Lender, the Borrower shall promptly execute and deliver to such Revolving Lender a Revolving Loan Note evidencing such Revolving Lender’s Revolving Commitment.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Repayment of Loans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Optional Prepayment</w:t>
      </w:r>
      <w:r>
        <w:rPr>
          <w:rFonts w:ascii="Times New Roman" w:hAnsi="Times New Roman"/>
          <w:sz w:val="20"/>
        </w:rPr>
        <w:t xml:space="preserve">. The Borrower shall have the right at any time and from time to time to prepay any Borrowing in whole or in part, subject to the requirements of this Section; provided, however, that voluntary prepayments (other than a prepayment in whole) shall be in the minimum amount of $1,000,000 and integral multiples of $100,000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Mandatory Repayment of Revolving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any day the total Revolving Credit Exposure exceeds the Borrowing Base Amount, the Borrower shall promptly (but in any event within three (3) Business Days of the occurrence thereof), in its discretion, (x) repay an aggregate principal amount of the Revolving Loans and LC Disbursements (or, if no (or insufficient) Revolving Loans or LC Disbursements are outstanding at such time, Cash Collateralize any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Letters of Credit) in an amount sufficient to cause the total Revolving Credit Exposure to be equal to or less than the Borrowing Base Amount and/or (y) provide additional Borrowing Base Assets in accordance with </w:t>
      </w:r>
      <w:r>
        <w:rPr>
          <w:rFonts w:ascii="Times New Roman" w:hAnsi="Times New Roman"/>
          <w:sz w:val="20"/>
          <w:u w:val="single"/>
        </w:rPr>
        <w:t>Section 7.14</w:t>
      </w:r>
      <w:r>
        <w:rPr>
          <w:rFonts w:ascii="Times New Roman" w:hAnsi="Times New Roman"/>
          <w:sz w:val="20"/>
        </w:rPr>
        <w:t xml:space="preserve"> that increase the Borrowing Base Amount by an amount sufficient to cause the total Revolving Credit Exposure to be equal to or less than the Borrowing Base Amount. </w:t>
      </w:r>
    </w:p>
    <w:p>
      <w:pPr>
        <w:pStyle w:val="TextBody"/>
        <w:bidi w:val="0"/>
        <w:spacing w:before="240" w:after="0"/>
        <w:jc w:val="left"/>
        <w:rPr>
          <w:rFonts w:ascii="Times New Roman" w:hAnsi="Times New Roman"/>
          <w:sz w:val="20"/>
        </w:rPr>
      </w:pPr>
      <w:r>
        <w:rPr>
          <w:rFonts w:ascii="Times New Roman" w:hAnsi="Times New Roman"/>
          <w:sz w:val="20"/>
        </w:rPr>
        <w:t xml:space="preserve">(B) If on any day the total Revolving Credit Exposure exceeds the aggregate Revolving Commitments of the Revolving Lenders, the Borrower shall promptly (but in any event within three (3) Business Days of the occurrence thereof) repay an aggregate principal amount of the Revolving Loans and LC Disbursements (or, if no (or insufficient) Revolving Loans or LC Disbursements are outstanding at such time, Cash Collateralize any issued and outstanding Letters of Credit) in an amount sufficient to cause the total Revolving Credit Exposure to be equal to or less than the aggregate Revolving Commitments of the Revolving Lenders. </w:t>
      </w:r>
    </w:p>
    <w:p>
      <w:pPr>
        <w:pStyle w:val="TextBody"/>
        <w:bidi w:val="0"/>
        <w:spacing w:before="240" w:after="0"/>
        <w:jc w:val="left"/>
        <w:rPr>
          <w:rFonts w:ascii="Times New Roman" w:hAnsi="Times New Roman"/>
          <w:sz w:val="20"/>
        </w:rPr>
      </w:pPr>
      <w:r>
        <w:rPr>
          <w:rFonts w:ascii="Times New Roman" w:hAnsi="Times New Roman"/>
          <w:sz w:val="20"/>
        </w:rPr>
        <w:t xml:space="preserve">(C) All repayments under this </w:t>
      </w:r>
      <w:r>
        <w:rPr>
          <w:rFonts w:ascii="Times New Roman" w:hAnsi="Times New Roman"/>
          <w:sz w:val="20"/>
          <w:u w:val="single"/>
        </w:rPr>
        <w:t>Section 1.9(2)</w:t>
      </w:r>
      <w:r>
        <w:rPr>
          <w:rFonts w:ascii="Times New Roman" w:hAnsi="Times New Roman"/>
          <w:sz w:val="20"/>
        </w:rPr>
        <w:t xml:space="preserve"> shall be made together with accrued interest to the date of such repayment on the principal amount repaid. </w:t>
      </w:r>
    </w:p>
    <w:p>
      <w:pPr>
        <w:pStyle w:val="TextBody"/>
        <w:bidi w:val="0"/>
        <w:spacing w:before="240" w:after="0"/>
        <w:jc w:val="left"/>
        <w:rPr>
          <w:rFonts w:ascii="Times New Roman" w:hAnsi="Times New Roman"/>
          <w:sz w:val="20"/>
        </w:rPr>
      </w:pPr>
      <w:r>
        <w:rPr>
          <w:rFonts w:ascii="Times New Roman" w:hAnsi="Times New Roman"/>
          <w:sz w:val="20"/>
        </w:rPr>
        <w:t xml:space="preserve">1.10. </w:t>
      </w:r>
      <w:r>
        <w:rPr>
          <w:rFonts w:ascii="Times New Roman" w:hAnsi="Times New Roman"/>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Base Rate Loans. The Loans comprising each Base Rate Borrowing shall bear interest at a rate per annum equal to the Applicable Base Rate.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 SOFR Loans</w:t>
      </w:r>
      <w:r>
        <w:rPr>
          <w:rFonts w:ascii="Times New Roman" w:hAnsi="Times New Roman"/>
          <w:sz w:val="20"/>
        </w:rPr>
        <w:t xml:space="preserve">. The Loans constituting each Term SOFR Borrowing shall bear interest at a rate per annum equal to the Applicable Term SOFR Rate for the Interest Period for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shall pay interest on Base Rate Borrowings monthly, in arrears, on the last Business Day of each calendar month, as set forth on an interest billing delivered by the Administrative Agent to the Borrower no later than the Business Day prior to the date such interest is due.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pay interest on the Term SOFR Borrowings on the last day of the applicable Interest Period or, in the case of Term SOFR Borrowings with an Interest Period ending later than three months after the date funded, converted or continued, at the end of each three month period from the date funded, converted or continued and on the last day of the applicable Interest Period, as set forth on an interest billing delivered by the Administrative Agent to the Borrower no later than the Business Day prior to the date such interest is due.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Conforming Changes</w:t>
      </w:r>
      <w:r>
        <w:rPr>
          <w:rFonts w:ascii="Times New Roman" w:hAnsi="Times New Roman"/>
          <w:sz w:val="20"/>
        </w:rPr>
        <w:t xml:space="preserve">. In connection with the use or administration of Term SOFR or any other Benchmark, the Administrative Agent, in consultation with the Borrower, shall have the right to make Conforming Changes from time to time and, notwithstanding anything to the contrary herein or in any other Loan Document, any amendments implementing such Conforming Changes will become effective without any further action or consent of the Borrower or any other party to this Agreement. The Administrative Agent will promptly notify the Borrower and the Lenders of the effectiveness of any such Conforming Changes in connection with the use or administration of Term SOFR or such other Benchmark.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Presumptions of Payment</w:t>
      </w:r>
      <w:r>
        <w:rPr>
          <w:rFonts w:ascii="Times New Roman" w:hAnsi="Times New Roman"/>
          <w:sz w:val="20"/>
        </w:rPr>
        <w:t xml:space="preserve">. 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applicable Lenders or the applicable Issuing Lenders, as the case may be, the amount due. In such event, if the Borrower has not in fact made such payment, then each of the applicable Lenders or the applicable Issuing Lenders, as the case may be, severally agrees to repay to the Administrative Agent forthwith on demand the amount so distributed to such Lender or such Issuing Lender with interest thereon, for each day from and including the date such amount is distributed to it to but excluding the date of payment to the Administrative Agent, at the Federal Funds Rate.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Defaulting Lender Adjustments</w:t>
      </w:r>
      <w:r>
        <w:rPr>
          <w:rFonts w:ascii="Times New Roman" w:hAnsi="Times New Roman"/>
          <w:sz w:val="20"/>
        </w:rPr>
        <w:t xml:space="preserve">. 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Waivers and Amendments</w:t>
      </w:r>
      <w:r>
        <w:rPr>
          <w:rFonts w:ascii="Times New Roman" w:hAnsi="Times New Roman"/>
          <w:sz w:val="20"/>
        </w:rPr>
        <w:t xml:space="preserve">. Such Defaulting Lender shall be deemed not to be a “Lender” for purposes of any amendment, waiver or consent with respect to any provision of the Loan Documents that requires the approval of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Article 9</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11.17</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on a pro rata basis of any amounts owing by such Defaulting Lender to the Administrative Agent or the Collateral Agent hereunder; </w:t>
      </w:r>
      <w:r>
        <w:rPr>
          <w:rFonts w:ascii="Times New Roman" w:hAnsi="Times New Roman"/>
          <w:i/>
          <w:sz w:val="20"/>
        </w:rPr>
        <w:t>second</w:t>
      </w:r>
      <w:r>
        <w:rPr>
          <w:rFonts w:ascii="Times New Roman" w:hAnsi="Times New Roman"/>
          <w:sz w:val="20"/>
        </w:rPr>
        <w:t xml:space="preserve">, to the payment on a pro rata basis of any amounts owing by such Defaulting Lender to the Issuing Lenders hereunder; </w:t>
      </w:r>
      <w:r>
        <w:rPr>
          <w:rFonts w:ascii="Times New Roman" w:hAnsi="Times New Roman"/>
          <w:i/>
          <w:sz w:val="20"/>
        </w:rPr>
        <w:t>third</w:t>
      </w:r>
      <w:r>
        <w:rPr>
          <w:rFonts w:ascii="Times New Roman" w:hAnsi="Times New Roman"/>
          <w:sz w:val="20"/>
        </w:rPr>
        <w:t xml:space="preserve">, to Cash Collateralize the Issuing Lenders’ Fronting Exposure with respect to such Defaulting Lender in accordance with </w:t>
      </w:r>
      <w:r>
        <w:rPr>
          <w:rFonts w:ascii="Times New Roman" w:hAnsi="Times New Roman"/>
          <w:sz w:val="20"/>
          <w:u w:val="single"/>
        </w:rPr>
        <w:t>Section 1.4(11)</w:t>
      </w:r>
      <w:r>
        <w:rPr>
          <w:rFonts w:ascii="Times New Roman" w:hAnsi="Times New Roman"/>
          <w:sz w:val="20"/>
        </w:rPr>
        <w:t xml:space="preserve">; </w:t>
      </w:r>
      <w:r>
        <w:rPr>
          <w:rFonts w:ascii="Times New Roman" w:hAnsi="Times New Roman"/>
          <w:i/>
          <w:sz w:val="20"/>
        </w:rPr>
        <w:t>fourth</w:t>
      </w:r>
      <w:r>
        <w:rPr>
          <w:rFonts w:ascii="Times New Roman" w:hAnsi="Times New Roman"/>
          <w:sz w:val="20"/>
        </w:rPr>
        <w:t xml:space="preserve">, as the Borrower may request (so long as no Potential Default or Event of Default is continuing other than any such Potential Default or Event of Default that is caused by or attributable to the default by the Defaulting Lender), to the funding of any Loan in respect of which such Defaulting Lender has failed to fund its portion thereof as required by this Agreement, as determined by the Administrative Agent; </w:t>
      </w:r>
      <w:r>
        <w:rPr>
          <w:rFonts w:ascii="Times New Roman" w:hAnsi="Times New Roman"/>
          <w:i/>
          <w:sz w:val="20"/>
        </w:rPr>
        <w:t>fifth</w:t>
      </w:r>
      <w:r>
        <w:rPr>
          <w:rFonts w:ascii="Times New Roman" w:hAnsi="Times New Roman"/>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 w:hAnsi="Times New Roman"/>
          <w:sz w:val="20"/>
          <w:u w:val="single"/>
        </w:rPr>
        <w:t>Section 1.4(11)</w:t>
      </w:r>
      <w:r>
        <w:rPr>
          <w:rFonts w:ascii="Times New Roman" w:hAnsi="Times New Roman"/>
          <w:sz w:val="20"/>
        </w:rPr>
        <w:t xml:space="preserve">; </w:t>
      </w:r>
      <w:r>
        <w:rPr>
          <w:rFonts w:ascii="Times New Roman" w:hAnsi="Times New Roman"/>
          <w:i/>
          <w:sz w:val="20"/>
        </w:rPr>
        <w:t>sixth</w:t>
      </w:r>
      <w:r>
        <w:rPr>
          <w:rFonts w:ascii="Times New Roman" w:hAnsi="Times New Roman"/>
          <w:sz w:val="20"/>
        </w:rPr>
        <w:t xml:space="preserve">, to the payment of any amounts owing to the Lenders or the Issuing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as a result of any judgment of a court of competent jurisdiction obtained by any Lender or any Issuing Lender against such Defaulting Lender as a result of such Defaulting Lender’s breach of its obligations under this Agreement; </w:t>
      </w:r>
      <w:r>
        <w:rPr>
          <w:rFonts w:ascii="Times New Roman" w:hAnsi="Times New Roman"/>
          <w:i/>
          <w:sz w:val="20"/>
        </w:rPr>
        <w:t>seventh</w:t>
      </w:r>
      <w:r>
        <w:rPr>
          <w:rFonts w:ascii="Times New Roman" w:hAnsi="Times New Roman"/>
          <w:sz w:val="20"/>
        </w:rPr>
        <w:t xml:space="preserve">, so long as no Potential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sz w:val="20"/>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hAnsi="Times New Roman"/>
          <w:sz w:val="20"/>
          <w:u w:val="single"/>
        </w:rPr>
        <w:t>Section 5.2</w:t>
      </w:r>
      <w:r>
        <w:rPr>
          <w:rFonts w:ascii="Times New Roman" w:hAnsi="Times New Roman"/>
          <w:sz w:val="20"/>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Revolving Loans and funded and unfunded participations in LC Disbursements are held by the Revolving Lenders pro rata in accordance with the Revolving Commitments without giving effect to </w:t>
      </w:r>
      <w:r>
        <w:rPr>
          <w:rFonts w:ascii="Times New Roman" w:hAnsi="Times New Roman"/>
          <w:sz w:val="20"/>
          <w:u w:val="single"/>
        </w:rPr>
        <w:t>Section 1.12(1)(D)</w:t>
      </w:r>
      <w:r>
        <w:rPr>
          <w:rFonts w:ascii="Times New Roman" w:hAnsi="Times New Roman"/>
          <w:sz w:val="20"/>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sz w:val="20"/>
          <w:u w:val="single"/>
        </w:rPr>
        <w:t>Section 1.12(1)(B)</w:t>
      </w:r>
      <w:r>
        <w:rPr>
          <w:rFonts w:ascii="Times New Roman" w:hAnsi="Times New Roman"/>
          <w:sz w:val="20"/>
        </w:rPr>
        <w:t xml:space="preserve">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Defaulting Lender shall be entitled to receive any Unused Line Fee for any period during which that Lender is a Defaulting Lender (and the Borrower shall not be required to pay any such fee that otherwise would have been required to have been paid to that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(ii) Each Defaulting Lender shall be entitled to receive Letter of Credit Fees for any period during which that Revolving Lender is a Defaulting Lender only to the extent allocable to its Applicable Revolving Percentage of the Stated Amount of Letters of Credit for which such Defaulting Lender has provided cash collateral from its own funds with respect to such Defaulting Lender’s Applicable Revolving Percentage of the Stated Amount of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(iii) With respect to any Unused Line Fee or Letter of Credit Fee not required to be paid to any Defaulting Lender pursuant to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the Borrower shall (x) pay to each Non-Defaulting Lender that portion of any such fee otherwise payable to such Defaulting Lender with respect to such Defaulting Lender’s participation in LC Disbursements that has been reallocated to such Non-Defaulting Lender pursuant to </w:t>
      </w:r>
      <w:r>
        <w:rPr>
          <w:rFonts w:ascii="Times New Roman" w:hAnsi="Times New Roman"/>
          <w:sz w:val="20"/>
          <w:u w:val="single"/>
        </w:rPr>
        <w:t>clause (D)</w:t>
      </w:r>
      <w:r>
        <w:rPr>
          <w:rFonts w:ascii="Times New Roman" w:hAnsi="Times New Roman"/>
          <w:sz w:val="20"/>
        </w:rPr>
        <w:t xml:space="preserve"> below, (y) pay to the applicable Issuing Lender the amount of any such fee otherwise payable to such Defaulting Lender with respect to such Defaulting Lender’s participation in LC Disbursements that has not been reallocated to a Non-Defaulting Lender pursuant to </w:t>
      </w:r>
      <w:r>
        <w:rPr>
          <w:rFonts w:ascii="Times New Roman" w:hAnsi="Times New Roman"/>
          <w:sz w:val="20"/>
          <w:u w:val="single"/>
        </w:rPr>
        <w:t>clause (D)</w:t>
      </w:r>
      <w:r>
        <w:rPr>
          <w:rFonts w:ascii="Times New Roman" w:hAnsi="Times New Roman"/>
          <w:sz w:val="20"/>
        </w:rPr>
        <w:t xml:space="preserve"> below but instead has been retained as Fronting Exposure by such Issuing Lender and (z) not be required to pay the remaining amount of any such fee.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Reallocation of Participations to Reduce Fronting Exposure</w:t>
      </w:r>
      <w:r>
        <w:rPr>
          <w:rFonts w:ascii="Times New Roman" w:hAnsi="Times New Roman"/>
          <w:sz w:val="20"/>
        </w:rPr>
        <w:t xml:space="preserve">. All or any part of such Defaulting Lender’s participation in LC Exposure shall be reallocated among the Non-Defaulting Lenders which are Revolving Lenders in accordance with their respective Applicable Revolving Percentages (calculated without regard to such Defaulting Lender’s Revolving Commitment) but only to the extent that such reallocation does not cause the aggregate Revolving Credit Exposure of any Non-Defaulting Lender to exceed such Non-Defaulting Lender’s Revolving Commitment. Subject to </w:t>
      </w:r>
      <w:r>
        <w:rPr>
          <w:rFonts w:ascii="Times New Roman" w:hAnsi="Times New Roman"/>
          <w:sz w:val="20"/>
          <w:u w:val="single"/>
        </w:rPr>
        <w:t>Section 11.24</w:t>
      </w:r>
      <w:r>
        <w:rPr>
          <w:rFonts w:ascii="Times New Roman" w:hAnsi="Times New Roman"/>
          <w:sz w:val="20"/>
        </w:rPr>
        <w:t xml:space="preserve">,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Cash Collateral</w:t>
      </w:r>
      <w:r>
        <w:rPr>
          <w:rFonts w:ascii="Times New Roman" w:hAnsi="Times New Roman"/>
          <w:sz w:val="20"/>
        </w:rPr>
        <w:t xml:space="preserve">. If the reallocation described in </w:t>
      </w:r>
      <w:r>
        <w:rPr>
          <w:rFonts w:ascii="Times New Roman" w:hAnsi="Times New Roman"/>
          <w:sz w:val="20"/>
          <w:u w:val="single"/>
        </w:rPr>
        <w:t>clause (D)</w:t>
      </w:r>
      <w:r>
        <w:rPr>
          <w:rFonts w:ascii="Times New Roman" w:hAnsi="Times New Roman"/>
          <w:sz w:val="20"/>
        </w:rPr>
        <w:t xml:space="preserve"> above cannot, or can only partially, be effected, the Borrower shall, without prejudice to any right or remedy available to it hereunder or under law, Cash Collateralize the Issuing Lenders’ Fronting Exposure in accordance with the procedures set forth in </w:t>
      </w:r>
      <w:r>
        <w:rPr>
          <w:rFonts w:ascii="Times New Roman" w:hAnsi="Times New Roman"/>
          <w:sz w:val="20"/>
          <w:u w:val="single"/>
        </w:rPr>
        <w:t>Section 1.4(11)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Defaulting Lender Cure</w:t>
      </w:r>
      <w:r>
        <w:rPr>
          <w:rFonts w:ascii="Times New Roman" w:hAnsi="Times New Roman"/>
          <w:sz w:val="20"/>
        </w:rPr>
        <w:t>. If the Borrower and the Administrative Agent (and, in the case of any Revolving Lender that is a Defaulting Lender, each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other Lenders or take such other actions as the Administrative Agent may determine to be necessary to cause the Revolving Loans and funded and unfunded participations in Letters of Credit to be held pro rata by the Revolving Lenders in accordance with the Revolving Commitments (without giving effect to</w:t>
      </w:r>
      <w:r>
        <w:rPr>
          <w:rFonts w:ascii="Times New Roman" w:hAnsi="Times New Roman"/>
          <w:sz w:val="20"/>
          <w:u w:val="single"/>
        </w:rPr>
        <w:t xml:space="preserve"> Section 1.12(1)(D)</w:t>
      </w:r>
      <w:r>
        <w:rPr>
          <w:rFonts w:ascii="Times New Roman" w:hAnsi="Times New Roman"/>
          <w:sz w:val="20"/>
        </w:rPr>
        <w:t xml:space="preserve">),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New Letters of Credit</w:t>
      </w:r>
      <w:r>
        <w:rPr>
          <w:rFonts w:ascii="Times New Roman" w:hAnsi="Times New Roman"/>
          <w:sz w:val="20"/>
        </w:rPr>
        <w:t xml:space="preserve">. So long as any Revolving Lender is a Defaulting Lender, no Issuing Lender shall be required to issue, extend or increase any Letter of Credit unless it is satisfied that it will have no Fronting Exposure after giving effect thereto.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Removal of Defaulting Lender</w:t>
      </w:r>
      <w:r>
        <w:rPr>
          <w:rFonts w:ascii="Times New Roman" w:hAnsi="Times New Roman"/>
          <w:sz w:val="20"/>
        </w:rPr>
        <w:t xml:space="preserve">. At the Borrower’s request, the Administrative Agent or an Eligible Assignee reasonably acceptable to the Administrative Agent shall have the right (but not the obligation) to purchase from any Defaulting Lender, and each Defaulting Lender shall, upon such request, sell and assign to the Administrative Agent or such Eligible Assignee, all of the Defaulting Lender’s outstanding Commitments and Loans hereunder. Such sale shall be consummated promptly after the Administrative Agent has arranged for a purchase by the Administrative Agent or an Eligible Assignee pursuant to an Assignment and Acceptance Agreement, and at a price equal to the outstanding principal balance of the Defaulting Lender’s Loans, plus accrued interest, without premium or discount.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ARTICLE 2. </w:t>
      </w:r>
      <w:r>
        <w:rPr>
          <w:rFonts w:ascii="Times New Roman" w:hAnsi="Times New Roman"/>
          <w:sz w:val="20"/>
          <w:u w:val="single"/>
        </w:rPr>
        <w:t>General Provisions Regarding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Payments by the Borrower</w:t>
      </w:r>
      <w:r>
        <w:rPr>
          <w:rFonts w:ascii="Times New Roman" w:hAnsi="Times New Roman"/>
          <w:sz w:val="20"/>
        </w:rPr>
        <w:t xml:space="preserve">. The Borrower shall make each payment required to be made by it hereunder (whether of principal, interest or fees or reimbursement of LC Disbursements, or under </w:t>
      </w:r>
      <w:r>
        <w:rPr>
          <w:rFonts w:ascii="Times New Roman" w:hAnsi="Times New Roman"/>
          <w:sz w:val="20"/>
          <w:u w:val="single"/>
        </w:rPr>
        <w:t>Section 2.7</w:t>
      </w:r>
      <w:r>
        <w:rPr>
          <w:rFonts w:ascii="Times New Roman" w:hAnsi="Times New Roman"/>
          <w:sz w:val="20"/>
        </w:rPr>
        <w:t>,</w:t>
      </w:r>
      <w:r>
        <w:rPr>
          <w:rFonts w:ascii="Times New Roman" w:hAnsi="Times New Roman"/>
          <w:sz w:val="20"/>
          <w:u w:val="single"/>
        </w:rPr>
        <w:t xml:space="preserve"> 2.9</w:t>
      </w:r>
      <w:r>
        <w:rPr>
          <w:rFonts w:ascii="Times New Roman" w:hAnsi="Times New Roman"/>
          <w:sz w:val="20"/>
        </w:rPr>
        <w:t xml:space="preserve"> or</w:t>
      </w:r>
      <w:r>
        <w:rPr>
          <w:rFonts w:ascii="Times New Roman" w:hAnsi="Times New Roman"/>
          <w:sz w:val="20"/>
          <w:u w:val="single"/>
        </w:rPr>
        <w:t xml:space="preserve"> 2.10</w:t>
      </w:r>
      <w:r>
        <w:rPr>
          <w:rFonts w:ascii="Times New Roman" w:hAnsi="Times New Roman"/>
          <w:sz w:val="20"/>
        </w:rPr>
        <w:t xml:space="preserve">, or otherwise) or under any other Loan Document (except to the extent otherwise provided therein) prior to 2:00 p.m. (New York time) (unless otherwise specified in this Agreement), on the date when due, in immediately available funds, without set-off or counterclaim; </w:t>
      </w:r>
      <w:r>
        <w:rPr>
          <w:rFonts w:ascii="Times New Roman" w:hAnsi="Times New Roman"/>
          <w:sz w:val="20"/>
          <w:u w:val="single"/>
        </w:rPr>
        <w:t>provided</w:t>
      </w:r>
      <w:r>
        <w:rPr>
          <w:rFonts w:ascii="Times New Roman" w:hAnsi="Times New Roman"/>
          <w:sz w:val="20"/>
        </w:rPr>
        <w:t xml:space="preserve"> that if a new Loan is to be made by any Lender on a date the Borrower is to repay any principal of an outstanding Loan of such Lender, such Lender shall apply the proceeds of such new Loan to the payment of the principal to be repaid and only an amount equal to the difference between the principal to be borrowed and the principal to be repaid shall be made available by such Lender to the Administrative Agent as provided in </w:t>
      </w:r>
      <w:r>
        <w:rPr>
          <w:rFonts w:ascii="Times New Roman" w:hAnsi="Times New Roman"/>
          <w:sz w:val="20"/>
          <w:u w:val="single"/>
        </w:rPr>
        <w:t>Section 1.5</w:t>
      </w:r>
      <w:r>
        <w:rPr>
          <w:rFonts w:ascii="Times New Roman" w:hAnsi="Times New Roman"/>
          <w:sz w:val="20"/>
        </w:rPr>
        <w:t xml:space="preserve"> or paid by the Borrower to the Administrative Agent pursuant to this paragraph, as the case may be. Any amounts received after such time on any date may, in the discretion of the Administrative Agent, be deemed to have been received on the next succeeding Business Day for purposes of calculating interest thereon. All such payments shall be wired to the Administrative Agent at the Contact Office, ABA No. 021-001-033, for further credit to Commercial Loan Division, Account No. 60200119, Reference: The Macerich Company (or such other account as may be designated in writing by the Administrative Agent to the Borrower from time to time at least five (5) Business Days prior to any date upon which a payment is due hereunder), except as otherwise expressly provided in the relevant Loan Document, and except payments to be made directly to an Issuing Lender as expressly provided herein and except that payments pursuant to </w:t>
      </w:r>
      <w:r>
        <w:rPr>
          <w:rFonts w:ascii="Times New Roman" w:hAnsi="Times New Roman"/>
          <w:sz w:val="20"/>
          <w:u w:val="single"/>
        </w:rPr>
        <w:t>Sections 2.7</w:t>
      </w:r>
      <w:r>
        <w:rPr>
          <w:rFonts w:ascii="Times New Roman" w:hAnsi="Times New Roman"/>
          <w:sz w:val="20"/>
        </w:rPr>
        <w:t>,</w:t>
      </w:r>
      <w:r>
        <w:rPr>
          <w:rFonts w:ascii="Times New Roman" w:hAnsi="Times New Roman"/>
          <w:sz w:val="20"/>
          <w:u w:val="single"/>
        </w:rPr>
        <w:t xml:space="preserve"> 2.9</w:t>
      </w:r>
      <w:r>
        <w:rPr>
          <w:rFonts w:ascii="Times New Roman" w:hAnsi="Times New Roman"/>
          <w:sz w:val="20"/>
        </w:rPr>
        <w:t>,</w:t>
      </w:r>
      <w:r>
        <w:rPr>
          <w:rFonts w:ascii="Times New Roman" w:hAnsi="Times New Roman"/>
          <w:sz w:val="20"/>
          <w:u w:val="single"/>
        </w:rPr>
        <w:t xml:space="preserve"> 2.10</w:t>
      </w:r>
      <w:r>
        <w:rPr>
          <w:rFonts w:ascii="Times New Roman" w:hAnsi="Times New Roman"/>
          <w:sz w:val="20"/>
        </w:rPr>
        <w:t xml:space="preserve"> and </w:t>
      </w:r>
      <w:r>
        <w:rPr>
          <w:rFonts w:ascii="Times New Roman" w:hAnsi="Times New Roman"/>
          <w:sz w:val="20"/>
          <w:u w:val="single"/>
        </w:rPr>
        <w:t>11.14</w:t>
      </w:r>
      <w:r>
        <w:rPr>
          <w:rFonts w:ascii="Times New Roman" w:hAnsi="Times New Roman"/>
          <w:sz w:val="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or under any other Loan Document (except to the extent otherwise provided therein) shall be made in Dollars.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Pro Rata Treatment</w:t>
      </w:r>
      <w:r>
        <w:rPr>
          <w:rFonts w:ascii="Times New Roman" w:hAnsi="Times New Roman"/>
          <w:sz w:val="20"/>
        </w:rPr>
        <w:t xml:space="preserve">. Except to the extent otherwise provided herein: (i) each Revolving Borrowing shall be made from the Revolving Lenders, each payment of the Unused Line Fee under </w:t>
      </w:r>
      <w:r>
        <w:rPr>
          <w:rFonts w:ascii="Times New Roman" w:hAnsi="Times New Roman"/>
          <w:sz w:val="20"/>
          <w:u w:val="single"/>
        </w:rPr>
        <w:t>Section 2.11</w:t>
      </w:r>
      <w:r>
        <w:rPr>
          <w:rFonts w:ascii="Times New Roman" w:hAnsi="Times New Roman"/>
          <w:sz w:val="20"/>
        </w:rPr>
        <w:t xml:space="preserve"> shall be made for account of the Revolving Lenders, each payment of the Letter of Credit Fees under </w:t>
      </w:r>
      <w:r>
        <w:rPr>
          <w:rFonts w:ascii="Times New Roman" w:hAnsi="Times New Roman"/>
          <w:sz w:val="20"/>
          <w:u w:val="single"/>
        </w:rPr>
        <w:t>Section 2.11</w:t>
      </w:r>
      <w:r>
        <w:rPr>
          <w:rFonts w:ascii="Times New Roman" w:hAnsi="Times New Roman"/>
          <w:sz w:val="20"/>
        </w:rPr>
        <w:t xml:space="preserve"> shall be made for account of the Revolving Lenders and each termination or reduction of the amount of the Revolving Commitments under </w:t>
      </w:r>
      <w:r>
        <w:rPr>
          <w:rFonts w:ascii="Times New Roman" w:hAnsi="Times New Roman"/>
          <w:sz w:val="20"/>
          <w:u w:val="single"/>
        </w:rPr>
        <w:t>Section 1.7</w:t>
      </w:r>
      <w:r>
        <w:rPr>
          <w:rFonts w:ascii="Times New Roman" w:hAnsi="Times New Roman"/>
          <w:sz w:val="20"/>
        </w:rPr>
        <w:t xml:space="preserve"> shall be applied to the respective Revolving Commitments of the Revolving Lenders, pro rata according to the amounts of their respective Revolving Commitments; (ii) each Revolving Borrowing shall be allocated pro rata among the Revolving Lenders according to the amounts of their respective Revolving Commitments (in the case of the making of Revolving Loans) or their respective Revolving Loans (in the case of conversions and continuations of Loans); (iii) each payment or prepayment of principal of Revolving Loans by the Borrower shall be made for account of the Revolving Lenders pro rata in accordance with the respective unpaid principal amounts of the Revolving Loans held by them; and (iv)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interest on Revolving Loans by the Borrower shall be made for account of the Revolving Lenders pro rata in accordance with the amounts of interest on such Revolving Loans then due and payable to the respective Revolving Lenders. For the avoidance of doubt, (x) all of the Secured Obligations of the Borrower are guarantied by the Guarantors under Loan Documents on a </w:t>
      </w:r>
      <w:r>
        <w:rPr>
          <w:rFonts w:ascii="Times New Roman" w:hAnsi="Times New Roman"/>
          <w:i/>
          <w:sz w:val="20"/>
        </w:rPr>
        <w:t xml:space="preserve">pari passu </w:t>
      </w:r>
      <w:r>
        <w:rPr>
          <w:rFonts w:ascii="Times New Roman" w:hAnsi="Times New Roman"/>
          <w:sz w:val="20"/>
        </w:rPr>
        <w:t xml:space="preserve">basis and (y) all of the Secured Obligations are secured by all Collateral on a </w:t>
      </w:r>
      <w:r>
        <w:rPr>
          <w:rFonts w:ascii="Times New Roman" w:hAnsi="Times New Roman"/>
          <w:i/>
          <w:sz w:val="20"/>
        </w:rPr>
        <w:t xml:space="preserve">pari passu </w:t>
      </w:r>
      <w:r>
        <w:rPr>
          <w:rFonts w:ascii="Times New Roman" w:hAnsi="Times New Roman"/>
          <w:sz w:val="20"/>
        </w:rPr>
        <w:t xml:space="preserve">basis (subject to allocated loan amounts in certain cases).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Inability to Determine Rates; Alternate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In the event that the Administrative Agent shall have determined in its sole but good faith discretion (which determination shall be conclusive and binding upon the Borrower and the Lenders absent manifest error) that one or more Benchmark Transition Events shall have occurred, the Administrative Agent shall determine the corresponding Benchmark Replacement Date in accordance with the definition thereof, and the Administrative Agent shall, at any time after the Benchmark Replacement Date, have the sole and exclusive right at its election, to be exercised in its sole but good faith discretion, upon prior notice to the Borrower, to convert any Loan (or all Loans, including on a go-forward basis) from a Term SOFR Loan to an Alternate Rate Loan based on the applicable Benchmark Replacement selected by the Administrative Agent as provided in the definition thereof, or if such Loan had previously been converted to an Alternate Rate Loan based upon a Benchmark Replacement, to an Alternate Rate Loan based on the applicable alternative Benchmark Replacement selected by the Administrative Agent as provided in the definition thereof; provided in each case that such conversion shall be subject to satisfaction of the following conditions: (A) at the time of conversion, such applicable Benchmark Replacement is a floating rate index that is then, or the Administrative Agent anticipates will be, generally used by the Administrative Agent in its syndicated floating rate commercial real estate loans as an alternative to the then-current Benchmark, as determined by the Administrative Agent in its sole but good faith discretion, and (B) such applicable Benchmark Replacement is administratively and commercially reasonable for the Administrative Agent and each Lender to implement, as determined by the Administrative Agent in its sole but good faith discretion; provided further that the Borrower shall be entitled to direct that in lieu of conversion to an Alternate Rate Loan such Term SOFR Loans (or Alternate Rate Loans, as applicable) be converted to Base Rate Loans. In the event the foregoing conditions shall be satisfied and such Loan is converted to an Alternate Rate Loan as provided above, such Loan shall bear interest at the Applicable Alternate Rate effective as of the first day on which such Loan is converted to the applicable Alternate Rate Loan. The Administrative Agent will promptly notify the Borrower and the Lenders of the commencement of any Benchmark Unavailability Period and the conversion of any Loan to the applicable Alternate Rate Loan. Notwithstanding any provision of this Agreement to the contrary, in no event shall the Borrower have the right to convert (x) a Term SOFR Loan to an Alternate Rate Loan or (y) an Alternate Rate Loan accruing interest at a rate based upon the then-current Benchmark Replacement to an alternative Alternate Rate Loan accruing interest at a rate based upon any alternative Benchmark Replacement. For the avoidance of doubt, Borrower may borrow and continue Alternate Rate Loans once the Administrative Agent has established the applicable Alternate Index Rate as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event that the Administrative Agent shall have determined in its sole and absolute discretion (which determination shall be conclusive and binding upon the Borrower and the Lenders absent manifest error) that Term SOFR cannot be ascertained as provided in the definition of Term SOFR as set forth herein, or that the adoption of any Requirement of Law or any change therein or in the interpretation or application thereof, shall make it unlawful for any Lender to maintain a Term SOFR Loan as contemplated hereunder, or Term SOFR would be in excess of the maximum interest rate that the Borrower may by law pay, and such Loan has not been converted to an Alternate Rate Loan in accordance with Section 2.4(1) above, the Administrative Agent shall give notice thereof to the Borrower and the Lenders (which may be by telephone or e-mail, followed promptly by written notice). If such notice is given, each Term SOFR Loan shall be converted, as of the first day of the next succeeding Interest Period, or upon such earlier date as may be required by any Requirement of Law, at the Administrative Agent’s option (in the Administrative Agent’s sole and absolute discretion), to a Base Rate Loan bearing interest at the Applicable Base Rate. Notwithstanding any provision of this Agreement to the contrary, in no event shall the Borrower have the right to convert a Term SOFR Loan to an Alternate Rate Loan; provided that Borrower may borrow and continue Alternate Rate Loans once the Administrative Agent has established the applicable Alternate Index Rate as provided herein. Upon the Borrower’s receipt of notice of the commencement of a Benchmark Unavailability Period, the Borrower may revoke any pending request for an advance of, conversion to or continuation of a Term SOFR Loan to be made, converted or continued during any Benchmark Unavailability Period and, failing that, the Borrower will be deemed to have converted any such request into a request for a borrowing of or conversion to a Base Rate Loan. </w:t>
      </w:r>
    </w:p>
    <w:p>
      <w:pPr>
        <w:pStyle w:val="TextBody"/>
        <w:bidi w:val="0"/>
        <w:spacing w:before="240" w:after="0"/>
        <w:jc w:val="left"/>
        <w:rPr>
          <w:rFonts w:ascii="Times New Roman" w:hAnsi="Times New Roman"/>
          <w:sz w:val="20"/>
        </w:rPr>
      </w:pPr>
      <w:r>
        <w:rPr>
          <w:rFonts w:ascii="Times New Roman" w:hAnsi="Times New Roman"/>
          <w:sz w:val="20"/>
        </w:rPr>
        <w:t xml:space="preserve">(3) If, pursuant to Section 2.4(2), a Loan has been converted to or required to be maintained as a Base Rate Loan and the Administrative Agent thereafter determines in its sole but good faith discretion (which determination shall be conclusive and binding upon the Borrower and the Lenders absent manifest error) that the event(s) or circumstance(s) which resulted in such conversion or requirement shall no longer be applicable and Term SOFR can be determined as provided in the definition of Term SOFR as set forth herein, the Administrative Agent shall give notice thereof to the Borrower and the Lenders (which may be by telephone or e-mail, followed promptly by written notice) prior to the next succeeding Interest Determination Date. Upon the giving of such notice, such Loan may be converted, as of the first day of the next succeeding Interest Period, to a Term SOFR Loan. </w:t>
      </w:r>
    </w:p>
    <w:p>
      <w:pPr>
        <w:pStyle w:val="TextBody"/>
        <w:bidi w:val="0"/>
        <w:spacing w:before="240" w:after="0"/>
        <w:jc w:val="left"/>
        <w:rPr>
          <w:rFonts w:ascii="Times New Roman" w:hAnsi="Times New Roman"/>
          <w:sz w:val="20"/>
        </w:rPr>
      </w:pPr>
      <w:r>
        <w:rPr>
          <w:rFonts w:ascii="Times New Roman" w:hAnsi="Times New Roman"/>
          <w:sz w:val="20"/>
        </w:rPr>
        <w:t xml:space="preserve">(4) If, pursuant to the terms of Section 2.4(1), a Loan has been converted to an Alternate Rate Loan but the Administrative Agent thereafter determines in its sole but good faith discretion (which determination shall be conclusive and binding upon the Borrower and the Lenders absent manifest error) that the applicable Alternate Index Rate cannot be ascertained, or that the adoption of any Requirement of Law or any change therein or in the interpretation or application thereof, shall make it unlawful for any Lender to maintain an Alternate Rate Loan as contemplated hereunder, or the Applicable Alternate Rate would be in excess of the maximum interest rate that the Borrower may by law pay, the Administrative Agent shall give notice thereof to the Borrower and the Lenders (which may be by telephone or e-mail, followed promptly by written notice) prior to the next succeeding Interest Determination Date. If such notice is given, each Alternate Rate Loan shall be converted, as of the first day of the next succeeding Interest Period, or upon such earlier date as may be required by any Requirement of Law, to a Base Rate Loan bearing interest at the Applicable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If, pursuant to the terms of this Section 2.4, a Loan has been converted to or required to be maintained as a Base Rate Loan and thereafter the Administrative Agent determines in its sole but good faith discretion that Term SOFR has been succeeded by a Benchmark Replacement and such Benchmark Replacement can be determined, then the Administrative Agent shall have the sole and exclusive right, to be exercised in its sole but good faith discretion, upon notice to the Borrower to convert such Loan from a Base Rate Loan to an Alternate Rate Loan in accordance with, and subject to satisfaction of the conditions set forth in, the provisions of Section 2.4(1) above, and the Administrative Agent shall give notice thereof to the Borrower and the Lenders (which may be by telephone or e-mail, followed promptly by written notice) prior to the next succeeding Interest Determination Date, and if such notice is given, the Loan shall be converted, as of the first day of the next succeeding Interest Period, to an Alternate Rate Loan; provided that the Borrower shall be entitled to direct that in lieu of conversion to an Alternate Rate Loan such Base Rate Loans be continued as Base Rate Loans. </w:t>
      </w:r>
    </w:p>
    <w:p>
      <w:pPr>
        <w:pStyle w:val="TextBody"/>
        <w:bidi w:val="0"/>
        <w:spacing w:before="240" w:after="0"/>
        <w:jc w:val="left"/>
        <w:rPr>
          <w:rFonts w:ascii="Times New Roman" w:hAnsi="Times New Roman"/>
          <w:sz w:val="20"/>
        </w:rPr>
      </w:pPr>
      <w:r>
        <w:rPr>
          <w:rFonts w:ascii="Times New Roman" w:hAnsi="Times New Roman"/>
          <w:sz w:val="20"/>
        </w:rPr>
        <w:t xml:space="preserve">(6) The Borrower hereby agrees to pay to each Lender, in accordance with Section 2.9, any additional amounts necessary to compensate such Lender for any costs incurred by such Lender in making any conversion pursuant to this Section 2.4. </w:t>
      </w:r>
    </w:p>
    <w:p>
      <w:pPr>
        <w:pStyle w:val="TextBody"/>
        <w:bidi w:val="0"/>
        <w:spacing w:before="240" w:after="0"/>
        <w:jc w:val="left"/>
        <w:rPr>
          <w:rFonts w:ascii="Times New Roman" w:hAnsi="Times New Roman"/>
          <w:sz w:val="20"/>
        </w:rPr>
      </w:pPr>
      <w:r>
        <w:rPr>
          <w:rFonts w:ascii="Times New Roman" w:hAnsi="Times New Roman"/>
          <w:sz w:val="20"/>
        </w:rPr>
        <w:t xml:space="preserve">(7) In connection with the use, administration, adoption or implementation of a Benchmark Replacement, the Administrative Agent, in consultation with Borrower, shall have the right to make Conforming Changes from time to time and, notwithstanding anything to the contrary contained herein or in any other Loan Document, any amendments implementing such Conforming Changes will become effective without any further action or consent of any party to this Agreement or any other Loan Document. The Administrative Agent will promptly notify the Borrower and the Lenders of the effectiveness of any such Conforming Changes. </w:t>
      </w:r>
    </w:p>
    <w:p>
      <w:pPr>
        <w:pStyle w:val="TextBody"/>
        <w:bidi w:val="0"/>
        <w:spacing w:before="240" w:after="0"/>
        <w:jc w:val="left"/>
        <w:rPr>
          <w:rFonts w:ascii="Times New Roman" w:hAnsi="Times New Roman"/>
          <w:sz w:val="20"/>
        </w:rPr>
      </w:pPr>
      <w:r>
        <w:rPr>
          <w:rFonts w:ascii="Times New Roman" w:hAnsi="Times New Roman"/>
          <w:sz w:val="20"/>
        </w:rPr>
        <w:t xml:space="preserve">(8) Any determination, decision or election that may be made by the Administrative Agent pursuant to this Section 2.4, including, but not limited to, any determination with respect to a tenor, rate or adjustment or of the occurrence or non-occurrence of an event, circumstance or date, the calculation of any spread adjustment to achieve neutrality, any Conforming Changes, and any decision to take or refrain from taking any action or any selection, will be conclusive and binding absent manifest error and may be made in its sole discretion and without consent from any other party to this Agreement or any other Loan Document, except consultation with the Borrower if and to the extent expressly required by this Section 2.4 and the definitions of terms used in this Section 2.4.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Illegality</w:t>
      </w:r>
      <w:r>
        <w:rPr>
          <w:rFonts w:ascii="Times New Roman" w:hAnsi="Times New Roman"/>
          <w:sz w:val="20"/>
        </w:rPr>
        <w:t>. If any Lender determines that any Requirement of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the Borrower (through the Administrative Agent) (an “</w:t>
      </w:r>
      <w:r>
        <w:rPr>
          <w:rFonts w:ascii="Times New Roman" w:hAnsi="Times New Roman"/>
          <w:sz w:val="20"/>
          <w:u w:val="single"/>
        </w:rPr>
        <w:t>Illegality Notice</w:t>
      </w:r>
      <w:r>
        <w:rPr>
          <w:rFonts w:ascii="Times New Roman" w:hAnsi="Times New Roman"/>
          <w:sz w:val="20"/>
        </w:rPr>
        <w:t xml:space="preserve">”), (a) any obligation of the Lenders to make Term SOFR Loans, and any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Borrower to continue Term SOFR Loans or to convert Base Rate Loans to Term SOFR Loans, shall be suspended, and (b) the interest rate on which Base Rate Loans shall, if necessary to avoid such illegality, be determined by the Administrative Agent without reference to clause (c) of the definition of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Term SOFR Loans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Term SOFR Loans to such day, or immediately, if any Lender may not lawfully continue to maintain such Term SOFR Loans to such day. Upon any such prepayment or conversion, the Borrower shall also pay accrued interest on the amount so prepaid or converted, together with any additional amounts required pursuant to Section 2.9.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Subject to the provisions of</w:t>
      </w:r>
      <w:r>
        <w:rPr>
          <w:rFonts w:ascii="Times New Roman" w:hAnsi="Times New Roman"/>
          <w:sz w:val="20"/>
          <w:u w:val="single"/>
        </w:rPr>
        <w:t xml:space="preserve"> Section 2.10</w:t>
      </w:r>
      <w:r>
        <w:rPr>
          <w:rFonts w:ascii="Times New Roman" w:hAnsi="Times New Roman"/>
          <w:sz w:val="20"/>
        </w:rPr>
        <w:t xml:space="preserve"> (which shall be controlling with respect to the matters covered thereby), in the event that any Change in Law: </w:t>
      </w:r>
    </w:p>
    <w:p>
      <w:pPr>
        <w:pStyle w:val="TextBody"/>
        <w:bidi w:val="0"/>
        <w:spacing w:before="120" w:after="0"/>
        <w:jc w:val="left"/>
        <w:rPr>
          <w:rFonts w:ascii="Times New Roman" w:hAnsi="Times New Roman"/>
          <w:sz w:val="20"/>
        </w:rPr>
      </w:pPr>
      <w:r>
        <w:rPr>
          <w:rFonts w:ascii="Times New Roman" w:hAnsi="Times New Roman"/>
          <w:sz w:val="20"/>
        </w:rPr>
        <w:t xml:space="preserve">(A) Does or shall subject any Lender or any Issuing Lender to any Taxes of any kind whatsoever with respect to this Agreement or any Loan, or change the basis of determining the Taxes imposed on payments to such Lender or such Issuing Lender of principal, fee, interest or any other amount payable hereunder (except for Indemnified Taxes and Excluded Taxes); </w:t>
      </w:r>
    </w:p>
    <w:p>
      <w:pPr>
        <w:pStyle w:val="TextBody"/>
        <w:bidi w:val="0"/>
        <w:spacing w:before="240" w:after="0"/>
        <w:jc w:val="left"/>
        <w:rPr>
          <w:rFonts w:ascii="Times New Roman" w:hAnsi="Times New Roman"/>
          <w:sz w:val="20"/>
        </w:rPr>
      </w:pPr>
      <w:r>
        <w:rPr>
          <w:rFonts w:ascii="Times New Roman" w:hAnsi="Times New Roman"/>
          <w:sz w:val="20"/>
        </w:rPr>
        <w:t xml:space="preserve">(B) Does or shall impose, modify or hold applicable any reserve, capital or liquidity requirement, special deposit, compulsory loan or similar requirements against assets held by, or deposits or other liabilities in or for the account of, advances or loans by, or other credit extended by, or any other acquisition of funds by, any office of such Lender or such Issuing Lender which are not otherwise included in the determination of interest payable on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(C) Does or shall impose on any Lender or any Issuing Lender any other condition; or </w:t>
      </w:r>
    </w:p>
    <w:p>
      <w:pPr>
        <w:pStyle w:val="TextBody"/>
        <w:bidi w:val="0"/>
        <w:spacing w:before="240" w:after="0"/>
        <w:jc w:val="left"/>
        <w:rPr>
          <w:rFonts w:ascii="Times New Roman" w:hAnsi="Times New Roman"/>
          <w:sz w:val="20"/>
        </w:rPr>
      </w:pPr>
      <w:r>
        <w:rPr>
          <w:rFonts w:ascii="Times New Roman" w:hAnsi="Times New Roman"/>
          <w:sz w:val="20"/>
        </w:rPr>
        <w:t xml:space="preserve">(D) Does or shall impose on any Lender or any Issuing Lender or the applicable interbank market any other condition, cost or expense (other than Taxes) affecting this Agreement or Term SOFR Loans made by such Lender or any Letter of Credit or participation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result of any of the foregoing is to increase the cost to such Lender or such Issuing Lender of making, renewing or maintaining its Revolving Commitment or its Credit Exposure or to increase the cost of such Lender or such Issuing Lender of participating in, issuing or maintaining any Letter of Credit or to reduce any amount receivable in respect thereof or the rate of return on the capital of such Lender or such Issuing Lender or any corporation controlling such Lender or such Issuing Lender, then, in any such case, the Borrower shall, without duplication of amounts payable pursuant to </w:t>
      </w:r>
      <w:r>
        <w:rPr>
          <w:rFonts w:ascii="Times New Roman" w:hAnsi="Times New Roman"/>
          <w:sz w:val="20"/>
          <w:u w:val="single"/>
        </w:rPr>
        <w:t>Section 2.10</w:t>
      </w:r>
      <w:r>
        <w:rPr>
          <w:rFonts w:ascii="Times New Roman" w:hAnsi="Times New Roman"/>
          <w:sz w:val="20"/>
        </w:rPr>
        <w:t xml:space="preserve">, promptly (and in any event no later than 10 Business Days after receipt by the Borrower of notice from the applicable Lender or the applicable Issuing Lender pursuant to </w:t>
      </w:r>
      <w:r>
        <w:rPr>
          <w:rFonts w:ascii="Times New Roman" w:hAnsi="Times New Roman"/>
          <w:sz w:val="20"/>
          <w:u w:val="single"/>
        </w:rPr>
        <w:t>Section 2.7(2)</w:t>
      </w:r>
      <w:r>
        <w:rPr>
          <w:rFonts w:ascii="Times New Roman" w:hAnsi="Times New Roman"/>
          <w:sz w:val="20"/>
        </w:rPr>
        <w:t xml:space="preserve"> below claiming additional amounts pursuant to this </w:t>
      </w:r>
      <w:r>
        <w:rPr>
          <w:rFonts w:ascii="Times New Roman" w:hAnsi="Times New Roman"/>
          <w:sz w:val="20"/>
          <w:u w:val="single"/>
        </w:rPr>
        <w:t>Section 2.7</w:t>
      </w:r>
      <w:r>
        <w:rPr>
          <w:rFonts w:ascii="Times New Roman" w:hAnsi="Times New Roman"/>
          <w:sz w:val="20"/>
        </w:rPr>
        <w:t xml:space="preserve">) pay to such Lender or such Issuing Lender, upon its written demand made through the Administrative Agent, any additional amounts necessary to compensate such Lender or such Issuing Lender for such additional cost or reduced amounts receivable or rate of return as determined by such Lender or such Issuing Lender with respect to this Agreement or such Lender’s or such Issuing Lender’s Revolving Commitment, Credit Exposure or Letter of Credit obligations. </w:t>
      </w:r>
    </w:p>
    <w:p>
      <w:pPr>
        <w:pStyle w:val="TextBody"/>
        <w:bidi w:val="0"/>
        <w:spacing w:before="240" w:after="0"/>
        <w:jc w:val="left"/>
        <w:rPr>
          <w:rFonts w:ascii="Times New Roman" w:hAnsi="Times New Roman"/>
          <w:sz w:val="20"/>
        </w:rPr>
      </w:pPr>
      <w:r>
        <w:rPr>
          <w:rFonts w:ascii="Times New Roman" w:hAnsi="Times New Roman"/>
          <w:sz w:val="20"/>
        </w:rPr>
        <w:t xml:space="preserve">(2) If a Lender or an Issuing Lender becomes entitled to claim any additional amounts pursuant to this </w:t>
      </w:r>
      <w:r>
        <w:rPr>
          <w:rFonts w:ascii="Times New Roman" w:hAnsi="Times New Roman"/>
          <w:sz w:val="20"/>
          <w:u w:val="single"/>
        </w:rPr>
        <w:t>Section 2.7</w:t>
      </w:r>
      <w:r>
        <w:rPr>
          <w:rFonts w:ascii="Times New Roman" w:hAnsi="Times New Roman"/>
          <w:sz w:val="20"/>
        </w:rPr>
        <w:t xml:space="preserve">, it shall promptly notify the Borrower of the event by reason of which it has become so entitled. A certificate as to any additional amounts so claimed payable containing the calculation thereof in reasonable detail submitted by a Lender or an Issuing Lender to the Borrower, accompanied by a certification that such Lender or such Issuing Lender has required substantially all obligors under other commitments of this type made available by such Lender or such Issuing Lender to similarly so compensate such Lender or such Issuing Lender, shall constitute prima facie evidence thereof; </w:t>
      </w:r>
      <w:r>
        <w:rPr>
          <w:rFonts w:ascii="Times New Roman" w:hAnsi="Times New Roman"/>
          <w:sz w:val="20"/>
          <w:u w:val="single"/>
        </w:rPr>
        <w:t>provided</w:t>
      </w:r>
      <w:r>
        <w:rPr>
          <w:rFonts w:ascii="Times New Roman" w:hAnsi="Times New Roman"/>
          <w:sz w:val="20"/>
        </w:rPr>
        <w:t xml:space="preserve"> that the Borrower shall not be required to compensate a Lender or an Issuing Lender pursuant to this Section </w:t>
      </w:r>
      <w:r>
        <w:rPr>
          <w:rFonts w:ascii="Times New Roman" w:hAnsi="Times New Roman"/>
          <w:sz w:val="20"/>
          <w:u w:val="single"/>
        </w:rPr>
        <w:t>2.7</w:t>
      </w:r>
      <w:r>
        <w:rPr>
          <w:rFonts w:ascii="Times New Roman" w:hAnsi="Times New Roman"/>
          <w:sz w:val="20"/>
        </w:rPr>
        <w:t xml:space="preserve"> for any increased cost or reduction in respect of a period occurring more than six months prior to the date that such Lender or such Issuing Lender notifies the Borrower of such Lender’s intention to claim compensation therefor unless the circumstances giving rise to such increased cost or reduction became applicable retroactively, in which case no such time limitation shall apply so long as such Lender requests compensation within six months from the date such circumstances become applicable. </w:t>
      </w:r>
    </w:p>
    <w:p>
      <w:pPr>
        <w:pStyle w:val="TextBody"/>
        <w:bidi w:val="0"/>
        <w:spacing w:before="240" w:after="0"/>
        <w:jc w:val="left"/>
        <w:rPr>
          <w:rFonts w:ascii="Times New Roman" w:hAnsi="Times New Roman"/>
          <w:sz w:val="20"/>
        </w:rPr>
      </w:pPr>
      <w:r>
        <w:rPr>
          <w:rFonts w:ascii="Times New Roman" w:hAnsi="Times New Roman"/>
          <w:sz w:val="20"/>
        </w:rPr>
        <w:t xml:space="preserve">(3) Other than as set forth in this </w:t>
      </w:r>
      <w:r>
        <w:rPr>
          <w:rFonts w:ascii="Times New Roman" w:hAnsi="Times New Roman"/>
          <w:sz w:val="20"/>
          <w:u w:val="single"/>
        </w:rPr>
        <w:t>Section 2.7</w:t>
      </w:r>
      <w:r>
        <w:rPr>
          <w:rFonts w:ascii="Times New Roman" w:hAnsi="Times New Roman"/>
          <w:sz w:val="20"/>
        </w:rPr>
        <w:t xml:space="preserve">, the failure or delay on the part of any Lender or any Issuing Lender to demand compensation pursuant to this </w:t>
      </w:r>
      <w:r>
        <w:rPr>
          <w:rFonts w:ascii="Times New Roman" w:hAnsi="Times New Roman"/>
          <w:sz w:val="20"/>
          <w:u w:val="single"/>
        </w:rPr>
        <w:t>Section</w:t>
      </w:r>
      <w:r>
        <w:rPr>
          <w:rFonts w:ascii="Times New Roman" w:hAnsi="Times New Roman"/>
          <w:sz w:val="20"/>
        </w:rPr>
        <w:t xml:space="preserve"> 2.7 shall not constitute a waiver of such Lender’s or such Issuing Lender’s right to demand such compensation. The provisions of this Section 2.7 shall survive the termination of this Agreement and payment of the Loans and all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Obligation of Lenders to Mitigate; Replacement of Lenders</w:t>
      </w:r>
      <w:r>
        <w:rPr>
          <w:rFonts w:ascii="Times New Roman" w:hAnsi="Times New Roman"/>
          <w:sz w:val="20"/>
        </w:rPr>
        <w:t xml:space="preserve">. Each Lender agrees that: </w:t>
      </w:r>
    </w:p>
    <w:p>
      <w:pPr>
        <w:pStyle w:val="TextBody"/>
        <w:bidi w:val="0"/>
        <w:spacing w:before="120" w:after="0"/>
        <w:jc w:val="left"/>
        <w:rPr>
          <w:rFonts w:ascii="Times New Roman" w:hAnsi="Times New Roman"/>
          <w:sz w:val="20"/>
        </w:rPr>
      </w:pPr>
      <w:r>
        <w:rPr>
          <w:rFonts w:ascii="Times New Roman" w:hAnsi="Times New Roman"/>
          <w:sz w:val="20"/>
        </w:rPr>
        <w:t xml:space="preserve">(1) As promptly as reasonably practicable after the officer of such Lender responsible for administering such Lender’s Revolving Commitment and Credit Exposure becomes aware of any event or condition that would entitle such Lender to receive payments under </w:t>
      </w:r>
      <w:r>
        <w:rPr>
          <w:rFonts w:ascii="Times New Roman" w:hAnsi="Times New Roman"/>
          <w:sz w:val="20"/>
          <w:u w:val="single"/>
        </w:rPr>
        <w:t>Section 2.7</w:t>
      </w:r>
      <w:r>
        <w:rPr>
          <w:rFonts w:ascii="Times New Roman" w:hAnsi="Times New Roman"/>
          <w:sz w:val="20"/>
        </w:rPr>
        <w:t xml:space="preserve"> above or </w:t>
      </w:r>
      <w:r>
        <w:rPr>
          <w:rFonts w:ascii="Times New Roman" w:hAnsi="Times New Roman"/>
          <w:sz w:val="20"/>
          <w:u w:val="single"/>
        </w:rPr>
        <w:t>Section 2.10</w:t>
      </w:r>
      <w:r>
        <w:rPr>
          <w:rFonts w:ascii="Times New Roman" w:hAnsi="Times New Roman"/>
          <w:sz w:val="20"/>
        </w:rPr>
        <w:t xml:space="preserve"> below or to cease making or maintaining Term SOFR Loans under </w:t>
      </w:r>
      <w:r>
        <w:rPr>
          <w:rFonts w:ascii="Times New Roman" w:hAnsi="Times New Roman"/>
          <w:sz w:val="20"/>
          <w:u w:val="single"/>
        </w:rPr>
        <w:t>Section 2.5</w:t>
      </w:r>
      <w:r>
        <w:rPr>
          <w:rFonts w:ascii="Times New Roman" w:hAnsi="Times New Roman"/>
          <w:sz w:val="20"/>
        </w:rPr>
        <w:t xml:space="preserve"> above, such Lender will use reasonable efforts: (i) to maintain its Revolving Commitment and Credit Exposure through another lending office of such Lender or (ii) take such other measures as such Lender may deem reasonable, if as a result thereof the additional amounts which would otherwise be required to be paid to such Lender pursuant to </w:t>
      </w:r>
      <w:r>
        <w:rPr>
          <w:rFonts w:ascii="Times New Roman" w:hAnsi="Times New Roman"/>
          <w:sz w:val="20"/>
          <w:u w:val="single"/>
        </w:rPr>
        <w:t>Section 2.7</w:t>
      </w:r>
      <w:r>
        <w:rPr>
          <w:rFonts w:ascii="Times New Roman" w:hAnsi="Times New Roman"/>
          <w:sz w:val="20"/>
        </w:rPr>
        <w:t xml:space="preserve"> above or pursuant to </w:t>
      </w:r>
      <w:r>
        <w:rPr>
          <w:rFonts w:ascii="Times New Roman" w:hAnsi="Times New Roman"/>
          <w:sz w:val="20"/>
          <w:u w:val="single"/>
        </w:rPr>
        <w:t>Section 2.10</w:t>
      </w:r>
      <w:r>
        <w:rPr>
          <w:rFonts w:ascii="Times New Roman" w:hAnsi="Times New Roman"/>
          <w:sz w:val="20"/>
        </w:rPr>
        <w:t xml:space="preserve"> below would be materially reduced or eliminated or the conditions rendering such Lender incapable of making or maintaining Term SOFR Loans under </w:t>
      </w:r>
      <w:r>
        <w:rPr>
          <w:rFonts w:ascii="Times New Roman" w:hAnsi="Times New Roman"/>
          <w:sz w:val="20"/>
          <w:u w:val="single"/>
        </w:rPr>
        <w:t>Section 2.5</w:t>
      </w:r>
      <w:r>
        <w:rPr>
          <w:rFonts w:ascii="Times New Roman" w:hAnsi="Times New Roman"/>
          <w:sz w:val="20"/>
        </w:rPr>
        <w:t xml:space="preserve"> above no longer would be applicable, and if, as determined by such Lender in its sole discretion, the maintaining of such Term SOFR Loans through such other lending office or in accordance with such other measures, as the case may be, would not otherwise materially adversely affect such Term SOFR Loans or the interests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the Borrower receives a notice pursuant to </w:t>
      </w:r>
      <w:r>
        <w:rPr>
          <w:rFonts w:ascii="Times New Roman" w:hAnsi="Times New Roman"/>
          <w:sz w:val="20"/>
          <w:u w:val="single"/>
        </w:rPr>
        <w:t>Section 2.7</w:t>
      </w:r>
      <w:r>
        <w:rPr>
          <w:rFonts w:ascii="Times New Roman" w:hAnsi="Times New Roman"/>
          <w:sz w:val="20"/>
        </w:rPr>
        <w:t xml:space="preserve"> above or pursuant to </w:t>
      </w:r>
      <w:r>
        <w:rPr>
          <w:rFonts w:ascii="Times New Roman" w:hAnsi="Times New Roman"/>
          <w:sz w:val="20"/>
          <w:u w:val="single"/>
        </w:rPr>
        <w:t>Section 2.10</w:t>
      </w:r>
      <w:r>
        <w:rPr>
          <w:rFonts w:ascii="Times New Roman" w:hAnsi="Times New Roman"/>
          <w:sz w:val="20"/>
        </w:rPr>
        <w:t xml:space="preserve"> below or a notice pursuant to </w:t>
      </w:r>
      <w:r>
        <w:rPr>
          <w:rFonts w:ascii="Times New Roman" w:hAnsi="Times New Roman"/>
          <w:sz w:val="20"/>
          <w:u w:val="single"/>
        </w:rPr>
        <w:t>Section 2.5</w:t>
      </w:r>
      <w:r>
        <w:rPr>
          <w:rFonts w:ascii="Times New Roman" w:hAnsi="Times New Roman"/>
          <w:sz w:val="20"/>
        </w:rPr>
        <w:t xml:space="preserve"> above stating that a Lender is unable to make or maintain Term SOFR Loans (for reasons not generally applicable to the Required Lenders) or if any other circumstance exists hereunder which gives Borrower the right to replace a Lender as a party hereto pursuant to this Section, so long as (i) no Potential Default or Event of Default shall have occurred and be continuing, (ii) the Borrower has obtained a commitment from another Lender or an Eligible Assignee to purchase at par such Lender’s Revolving Commitment, its Credit Exposure at such time and accrued interest and fees and to assume all obligations of the Lender to be replaced under the Loan Documents and (iii) if applicable, such Lender to be replaced is unwilling to withdraw the notice delivered to the Borrower, upon the date following the date on which such Lender confirms in writing to the Borrower or the Administrative Agent that it is unwilling to withdraw such notice, or, if no such written confirmation has been given, five (5) Business Days’ prior written notice to such Lender and the Administrative Agent, the Borrower may require, at the Borrower’s expense, such Lender to assign, without recourse, all of its Revolving Commitment, Credit Exposure and accrued interest and fees to such other Lender or Eligible Assignee pursuant to the provisions of </w:t>
      </w:r>
      <w:r>
        <w:rPr>
          <w:rFonts w:ascii="Times New Roman" w:hAnsi="Times New Roman"/>
          <w:sz w:val="20"/>
          <w:u w:val="single"/>
        </w:rPr>
        <w:t>Section 11.8</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Funding Indemnification</w:t>
      </w:r>
      <w:r>
        <w:rPr>
          <w:rFonts w:ascii="Times New Roman" w:hAnsi="Times New Roman"/>
          <w:sz w:val="20"/>
        </w:rPr>
        <w:t>. In the event of (a) the payment of any principal of any Term SOFR Loan other than on the last day of an Interest Period applicable thereto (including as a result of an Event of Default), (b) the conversion of any Term SOFR Loan other than on the last day of the Interest Period applicable thereto, (c) the failure to borrow, convert, continue or prepay any Loan on the date specified in any notice delivered pursuant hereto (regardless of whether such notice is permitted to be revocable under</w:t>
      </w:r>
      <w:r>
        <w:rPr>
          <w:rFonts w:ascii="Times New Roman" w:hAnsi="Times New Roman"/>
          <w:sz w:val="20"/>
          <w:u w:val="single"/>
        </w:rPr>
        <w:t xml:space="preserve"> Section 1.8(2)</w:t>
      </w:r>
      <w:r>
        <w:rPr>
          <w:rFonts w:ascii="Times New Roman" w:hAnsi="Times New Roman"/>
          <w:sz w:val="20"/>
        </w:rPr>
        <w:t xml:space="preserve"> and is revoked in accordance herewith), or (d) the assignment of any Term SOFR Loan other than on the last day of the Interest Period applicable thereto as a result of a request by the Borrower pursuant to </w:t>
      </w:r>
      <w:r>
        <w:rPr>
          <w:rFonts w:ascii="Times New Roman" w:hAnsi="Times New Roman"/>
          <w:sz w:val="20"/>
          <w:u w:val="single"/>
        </w:rPr>
        <w:t>Section 2.8(2)</w:t>
      </w:r>
      <w:r>
        <w:rPr>
          <w:rFonts w:ascii="Times New Roman" w:hAnsi="Times New Roman"/>
          <w:sz w:val="20"/>
        </w:rPr>
        <w:t xml:space="preserve">, then, in any such event, the Borrower shall compensate each Lender for the loss, cost and expense attributable to such event, including any loss, cost or expense arising from the liquidation or redeployment of funds or from any fees payable.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Any and all payments by or on account of any obligation of any Borrower Party hereunder or under any other Loan Document shall be made free and clear of and without deduction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timely pay the full amount deducted or withheld to the relevant Governmental Authority in accordance with applicable law and, if such Tax is an Indemnified Tax, then the sum payable by the applicable Borrower Party shall be increased as necessary so that after such deduction or withholding has been made (including such deductions and withholdings applicable to additional sums payable under this Section) the Lender, the Administrative Agent or the Collateral Agent, as applicable,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(2) In addition, each Borrower Party shall timely pay to the relevant Governmental Authority in accordance with applicable law, or at the option of the Administrative Agent or the Collateral Agent, as applicable,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(3) The Borrower Parties shall jointly and severally indemnify the Administrative Agent, the Collateral Agent or any Lender, as applicable, within 10 days after demand therefor, for the full amount of any Indemnified Taxes (including Indemnified Taxes imposed or asserted on or attributable to amounts payable under this Section) payable or paid by such Administrative Agent, Collateral Agent or Lender, or required to be withheld or deducted from a payment to such Administrative Agent, Collateral Agent or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or the Collateral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(4) Each Lender shall severally indemnify the Administrative Agent and the Collateral Agent, within 10 days after demand therefor, for (i) any Indemnified Taxes attributable to such Lender (but only to the extent that any Borrower Party has not already indemnified the Administrative Agent or the Collateral Agent, as applicable, for such Indemnified Taxes and without limiting the obligation of the Borrower Parties to do so), (ii) any Taxes attributable to such Lender’s failure to comply with the provisions of </w:t>
      </w:r>
      <w:r>
        <w:rPr>
          <w:rFonts w:ascii="Times New Roman" w:hAnsi="Times New Roman"/>
          <w:sz w:val="20"/>
          <w:u w:val="single"/>
        </w:rPr>
        <w:t>Section 11.8(5)</w:t>
      </w:r>
      <w:r>
        <w:rPr>
          <w:rFonts w:ascii="Times New Roman" w:hAnsi="Times New Roman"/>
          <w:sz w:val="20"/>
        </w:rPr>
        <w:t xml:space="preserve"> relating to the maintenance of a Participant Register and (iii) any Excluded Taxes attributable to such Lender that are payable or paid by the Administrative Agent or the Collateral Agent, as applicable,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the Collateral Agent, as applicable, shall be conclusive absent manifest error. Each Lender hereby authorizes the Administrative Agent and the Collateral Agent to set off and apply any and all amounts at any time owing to such Lender under any Loan Document or otherwise payable by the Administrative Agent or the Collateral Agent, as applicable, to the Lender from any other source against any amount due to the Administrative Agent or the Collateral Agent, as applicable, under this </w:t>
      </w:r>
      <w:r>
        <w:rPr>
          <w:rFonts w:ascii="Times New Roman" w:hAnsi="Times New Roman"/>
          <w:sz w:val="20"/>
          <w:u w:val="single"/>
        </w:rPr>
        <w:t>paragraph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As soon as practicable after any payment of Taxes by any Borrower Party to a Governmental Authority, pursuant to this </w:t>
      </w:r>
      <w:r>
        <w:rPr>
          <w:rFonts w:ascii="Times New Roman" w:hAnsi="Times New Roman"/>
          <w:sz w:val="20"/>
          <w:u w:val="single"/>
        </w:rPr>
        <w:t>Section 2.10</w:t>
      </w:r>
      <w:r>
        <w:rPr>
          <w:rFonts w:ascii="Times New Roman" w:hAnsi="Times New Roman"/>
          <w:sz w:val="20"/>
        </w:rPr>
        <w:t xml:space="preserve"> such Borrower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w:t>
      </w:r>
      <w:r>
        <w:rPr>
          <w:rFonts w:ascii="Times New Roman" w:hAnsi="Times New Roman"/>
          <w:sz w:val="20"/>
          <w:u w:val="single"/>
        </w:rPr>
        <w:t xml:space="preserve"> Section 2.10(6)(ii)(A)</w:t>
      </w:r>
      <w:r>
        <w:rPr>
          <w:rFonts w:ascii="Times New Roman" w:hAnsi="Times New Roman"/>
          <w:sz w:val="20"/>
        </w:rPr>
        <w:t>,</w:t>
      </w:r>
      <w:r>
        <w:rPr>
          <w:rFonts w:ascii="Times New Roman" w:hAnsi="Times New Roman"/>
          <w:sz w:val="20"/>
          <w:u w:val="single"/>
        </w:rPr>
        <w:t xml:space="preserve"> (ii)(B)</w:t>
      </w:r>
      <w:r>
        <w:rPr>
          <w:rFonts w:ascii="Times New Roman" w:hAnsi="Times New Roman"/>
          <w:sz w:val="20"/>
        </w:rPr>
        <w:t xml:space="preserve"> and</w:t>
      </w:r>
      <w:r>
        <w:rPr>
          <w:rFonts w:ascii="Times New Roman" w:hAnsi="Times New Roman"/>
          <w:sz w:val="20"/>
          <w:u w:val="single"/>
        </w:rPr>
        <w:t xml:space="preserve"> (ii)(D)</w:t>
      </w:r>
      <w:r>
        <w:rPr>
          <w:rFonts w:ascii="Times New Roman" w:hAnsi="Times New Roman"/>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(or successor form)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Loan Document, executed originals of IRS Form W-8BEN or IRS Form W-8BEN-E (in each case, or successor form) establishing an exemption from, or reduction of, U.S. federal withholding Tax pursuant to the “interest” article of such tax treaty and (y) with respect to any other applicable payments under any Loan Document, IRS Form W-8BEN or IRS Form W-8BEN-E (in each case, or successor form) establishing an exemption from, or reduction of, U.S. federal withholding Tax pursuant to the “business profits” or “other income” or other applicable article of such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executed originals of IRS Form W-8ECI (or successor form);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 Foreign Lender claiming the benefits of the exemption for portfolio interest under Section 881(c) of the Code, (x) a certificate substantially in the form of </w:t>
      </w:r>
      <w:r>
        <w:rPr>
          <w:rFonts w:ascii="Times New Roman" w:hAnsi="Times New Roman"/>
          <w:sz w:val="20"/>
          <w:u w:val="single"/>
        </w:rPr>
        <w:t>Exhibit J-1</w:t>
      </w:r>
      <w:r>
        <w:rPr>
          <w:rFonts w:ascii="Times New Roman" w:hAnsi="Times New Roman"/>
          <w:sz w:val="20"/>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originals of IRS Form W-8BEN or IRS Form W-8BEN-E (in each case, or successor form); or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a Foreign Lender is not the beneficial owner, executed originals of IRS Form W-8IMY, accompanied by IRS Form W-8ECI, IRS Form W-8BEN, IRS Form W-8BEN-E, a U.S. Tax </w:t>
      </w:r>
    </w:p>
    <w:p>
      <w:pPr>
        <w:pStyle w:val="TextBody"/>
        <w:bidi w:val="0"/>
        <w:spacing w:before="0" w:after="0"/>
        <w:jc w:val="left"/>
        <w:rPr>
          <w:rFonts w:ascii="Times New Roman" w:hAnsi="Times New Roman"/>
          <w:sz w:val="20"/>
        </w:rPr>
      </w:pPr>
      <w:r>
        <w:rPr>
          <w:rFonts w:ascii="Times New Roman" w:hAnsi="Times New Roman"/>
          <w:sz w:val="20"/>
        </w:rPr>
        <w:t xml:space="preserve">Compliance Certificate substantially in the form of </w:t>
      </w:r>
      <w:r>
        <w:rPr>
          <w:rFonts w:ascii="Times New Roman" w:hAnsi="Times New Roman"/>
          <w:sz w:val="20"/>
          <w:u w:val="single"/>
        </w:rPr>
        <w:t>Exhibit J-2</w:t>
      </w:r>
      <w:r>
        <w:rPr>
          <w:rFonts w:ascii="Times New Roman" w:hAnsi="Times New Roman"/>
          <w:sz w:val="20"/>
        </w:rPr>
        <w:t xml:space="preserve"> or </w:t>
      </w:r>
      <w:r>
        <w:rPr>
          <w:rFonts w:ascii="Times New Roman" w:hAnsi="Times New Roman"/>
          <w:sz w:val="20"/>
          <w:u w:val="single"/>
        </w:rPr>
        <w:t>J-3</w:t>
      </w:r>
      <w:r>
        <w:rPr>
          <w:rFonts w:ascii="Times New Roman" w:hAnsi="Times New Roman"/>
          <w:sz w:val="20"/>
        </w:rPr>
        <w:t>, IRS Form W-9 (in each case, or successor form),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w:t>
      </w:r>
      <w:r>
        <w:rPr>
          <w:rFonts w:ascii="Times New Roman" w:hAnsi="Times New Roman"/>
          <w:sz w:val="20"/>
          <w:u w:val="single"/>
        </w:rPr>
        <w:t xml:space="preserve"> Exhibit J-4</w:t>
      </w:r>
      <w:r>
        <w:rPr>
          <w:rFonts w:ascii="Times New Roman" w:hAnsi="Times New Roman"/>
          <w:sz w:val="20"/>
        </w:rPr>
        <w:t xml:space="preserve">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(7) If any party determines, in its sole discretion exercised in good faith, that it has received a refund of any Taxes as to which it has been indemnified pursuant to this </w:t>
      </w:r>
      <w:r>
        <w:rPr>
          <w:rFonts w:ascii="Times New Roman" w:hAnsi="Times New Roman"/>
          <w:sz w:val="20"/>
          <w:u w:val="single"/>
        </w:rPr>
        <w:t>Section 2.10</w:t>
      </w:r>
      <w:r>
        <w:rPr>
          <w:rFonts w:ascii="Times New Roman" w:hAnsi="Times New Roman"/>
          <w:sz w:val="20"/>
        </w:rPr>
        <w:t xml:space="preserve"> (including by the payment of any additional amounts pursuant to this </w:t>
      </w:r>
      <w:r>
        <w:rPr>
          <w:rFonts w:ascii="Times New Roman" w:hAnsi="Times New Roman"/>
          <w:sz w:val="20"/>
          <w:u w:val="single"/>
        </w:rPr>
        <w:t>Section 2.10</w:t>
      </w:r>
      <w:r>
        <w:rPr>
          <w:rFonts w:ascii="Times New Roman" w:hAnsi="Times New Roman"/>
          <w:sz w:val="20"/>
        </w:rPr>
        <w:t xml:space="preserve">), it shall pay to the indemnifying party an amount equal to such refund (but only to the extent of indemnity payments made, or additional amounts paid, by such Borrower Party under this </w:t>
      </w:r>
      <w:r>
        <w:rPr>
          <w:rFonts w:ascii="Times New Roman" w:hAnsi="Times New Roman"/>
          <w:sz w:val="20"/>
          <w:u w:val="single"/>
        </w:rPr>
        <w:t>Section 2.10</w:t>
      </w:r>
      <w:r>
        <w:rPr>
          <w:rFonts w:ascii="Times New Roman" w:hAnsi="Times New Roman"/>
          <w:sz w:val="20"/>
        </w:rPr>
        <w:t xml:space="preserve"> with respect to Taxes giving rise to such refund), net of all out-of-pocket expenses (including Taxes) of such indemnified party incurred in order to obtain such refund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sz w:val="20"/>
          <w:u w:val="single"/>
        </w:rPr>
        <w:t>paragraph (7)</w:t>
      </w:r>
      <w:r>
        <w:rPr>
          <w:rFonts w:ascii="Times New Roman" w:hAnsi="Times New Roman"/>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sz w:val="20"/>
          <w:u w:val="single"/>
        </w:rPr>
        <w:t>paragraph (7)</w:t>
      </w:r>
      <w:r>
        <w:rPr>
          <w:rFonts w:ascii="Times New Roman" w:hAnsi="Times New Roman"/>
          <w:sz w:val="20"/>
        </w:rPr>
        <w:t xml:space="preserve">, in no event will the indemnified party be required to pay any amount to an indemnifying party pursuant to this </w:t>
      </w:r>
      <w:r>
        <w:rPr>
          <w:rFonts w:ascii="Times New Roman" w:hAnsi="Times New Roman"/>
          <w:sz w:val="20"/>
          <w:u w:val="single"/>
        </w:rPr>
        <w:t>paragraph (7)</w:t>
      </w:r>
      <w:r>
        <w:rPr>
          <w:rFonts w:ascii="Times New Roman" w:hAnsi="Times New Roman"/>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(8) Each party’s obligations under this </w:t>
      </w:r>
      <w:r>
        <w:rPr>
          <w:rFonts w:ascii="Times New Roman" w:hAnsi="Times New Roman"/>
          <w:sz w:val="20"/>
          <w:u w:val="single"/>
        </w:rPr>
        <w:t>Section 2.10</w:t>
      </w:r>
      <w:r>
        <w:rPr>
          <w:rFonts w:ascii="Times New Roman" w:hAnsi="Times New Roman"/>
          <w:sz w:val="20"/>
        </w:rPr>
        <w:t xml:space="preserve"> shall survive the resignation or replacement of the Administrative Agent or the Collateral Agent or any assignment of rights by, or the replacement of, a Lender, the termination of the Commitments and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(9) For purposes of this </w:t>
      </w:r>
      <w:r>
        <w:rPr>
          <w:rFonts w:ascii="Times New Roman" w:hAnsi="Times New Roman"/>
          <w:sz w:val="20"/>
          <w:u w:val="single"/>
        </w:rPr>
        <w:t>Section 2.10</w:t>
      </w:r>
      <w:r>
        <w:rPr>
          <w:rFonts w:ascii="Times New Roman" w:hAnsi="Times New Roman"/>
          <w:sz w:val="20"/>
        </w:rPr>
        <w:t xml:space="preserve">, the term “Lender” shall include the Administrative Agent, the Collateral Agent and any Issuing Lender and the term “applicable law” includes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Unused Line Fee</w:t>
      </w:r>
      <w:r>
        <w:rPr>
          <w:rFonts w:ascii="Times New Roman" w:hAnsi="Times New Roman"/>
          <w:sz w:val="20"/>
        </w:rPr>
        <w:t>. Until Payment in Full, the Borrower agrees to pay, on the first day of each month and on the Revolving Commitment Termination Date, to the Administrative Agent, for the ratable account of the Revolving Lenders, an unused line fee (the “</w:t>
      </w:r>
      <w:r>
        <w:rPr>
          <w:rFonts w:ascii="Times New Roman" w:hAnsi="Times New Roman"/>
          <w:sz w:val="20"/>
          <w:u w:val="single"/>
        </w:rPr>
        <w:t>Unused Line Fee</w:t>
      </w:r>
      <w:r>
        <w:rPr>
          <w:rFonts w:ascii="Times New Roman" w:hAnsi="Times New Roman"/>
          <w:sz w:val="20"/>
        </w:rPr>
        <w:t>”), for each day during the immediately preceding month or shorter period if calculated on the Revolving Commitment Termination Date, equal to (A) (x) if the average Daily Revolving Commitment Utilization (as defined below) during the applicable one month or shorter period is less than 50.0% of the average daily outstanding Revolving Commitments during such one month or shorter period, 0.25% per annum or (y) if the average Daily Revolving Commitment Utilization during the applicable one month or shorter period is greater than or equal to 50.0% of the average daily outstanding Revolving Commitments during such one month or shorter period, 0.20% per annum, multiplied by (B) the amount by which (i) the aggregate amount of the Revolving Lenders’ Revolving Commitments on such day exceeded (ii) the sum of (I) the outstanding amount of Revolving Loans on such day and (II) the undrawn available balance of all outstanding Letters of Credit on such day. The Unused Line Fee shall be computed on the basis of a 360-day year for the actual number of days elapsed. “</w:t>
      </w:r>
      <w:r>
        <w:rPr>
          <w:rFonts w:ascii="Times New Roman" w:hAnsi="Times New Roman"/>
          <w:sz w:val="20"/>
          <w:u w:val="single"/>
        </w:rPr>
        <w:t>Daily Revolving Commitment Utilization</w:t>
      </w:r>
      <w:r>
        <w:rPr>
          <w:rFonts w:ascii="Times New Roman" w:hAnsi="Times New Roman"/>
          <w:sz w:val="20"/>
        </w:rPr>
        <w:t xml:space="preserve">” shall mean, for any day, the result of (A) the sum of (i) the outstanding amount of Revolving Loans on such day and (ii) the undrawn available balance of all outstanding Letters of Credit on such day divided by (B) the aggregate amount of the Revolving Lenders’ Revolving Commitments on such day.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Letter of Credit Fees and Costs</w:t>
      </w:r>
      <w:r>
        <w:rPr>
          <w:rFonts w:ascii="Times New Roman" w:hAnsi="Times New Roman"/>
          <w:sz w:val="20"/>
        </w:rPr>
        <w:t>. (A) The Borrower agrees to pay to the Administrative Agent for distribution to each Revolving Lender that is a Non-Defaulting Lender (based on their respective Applicable Revolving Percentage) in U.S. Dollars, a fee in respect of each Letter of Credit issued for the account of any Macerich Entity (the “</w:t>
      </w:r>
      <w:r>
        <w:rPr>
          <w:rFonts w:ascii="Times New Roman" w:hAnsi="Times New Roman"/>
          <w:sz w:val="20"/>
          <w:u w:val="single"/>
        </w:rPr>
        <w:t>Letter of Credit Fee</w:t>
      </w:r>
      <w:r>
        <w:rPr>
          <w:rFonts w:ascii="Times New Roman" w:hAnsi="Times New Roman"/>
          <w:sz w:val="20"/>
        </w:rPr>
        <w:t xml:space="preserve">”), in each case for the period from and including the date of issuance of the respective Letter of Credit to and including the date of termination of such Letter of Credit, computed at a rate per annum equal to the applicable “SOFR Spread” as listed in the definition of Applicable Term SOFR Rate on the daily Stated Amount of such Letter of Credit. Accrued Letter of Credit Fees shall be due and payable on the first Business Day of each August, November, February and May (for the calendar quarterly period most recently ended), and on the Revolving Commitment Termination Date or such earlier date upon which the Revolving Commitments are terminated. </w:t>
      </w:r>
    </w:p>
    <w:p>
      <w:pPr>
        <w:pStyle w:val="TextBody"/>
        <w:bidi w:val="0"/>
        <w:spacing w:before="240" w:after="0"/>
        <w:jc w:val="left"/>
        <w:rPr>
          <w:rFonts w:ascii="Times New Roman" w:hAnsi="Times New Roman"/>
          <w:sz w:val="20"/>
        </w:rPr>
      </w:pPr>
      <w:r>
        <w:rPr>
          <w:rFonts w:ascii="Times New Roman" w:hAnsi="Times New Roman"/>
          <w:sz w:val="20"/>
        </w:rPr>
        <w:t>(B) The Borrower agrees to pay the applicable Issuing Lender, for its own account, in U.S. Dollars, a facing fee in respect of each Letter of Credit issued for the account of any Macerich Entity by such Issuing Lender (the “</w:t>
      </w:r>
      <w:r>
        <w:rPr>
          <w:rFonts w:ascii="Times New Roman" w:hAnsi="Times New Roman"/>
          <w:sz w:val="20"/>
          <w:u w:val="single"/>
        </w:rPr>
        <w:t>Facing Fee</w:t>
      </w:r>
      <w:r>
        <w:rPr>
          <w:rFonts w:ascii="Times New Roman" w:hAnsi="Times New Roman"/>
          <w:sz w:val="20"/>
        </w:rPr>
        <w:t xml:space="preserve">”), for the period from and including the date of issuance of such Letter of Credit to and including the date of the termination of such Letter of Credit, computed at a rate equal to one-eighth of one percent (0.125%) per annum of the daily Stated Amount of such Letter of Credit; </w:t>
      </w:r>
      <w:r>
        <w:rPr>
          <w:rFonts w:ascii="Times New Roman" w:hAnsi="Times New Roman"/>
          <w:sz w:val="20"/>
          <w:u w:val="single"/>
        </w:rPr>
        <w:t>provided</w:t>
      </w:r>
      <w:r>
        <w:rPr>
          <w:rFonts w:ascii="Times New Roman" w:hAnsi="Times New Roman"/>
          <w:sz w:val="20"/>
        </w:rPr>
        <w:t xml:space="preserve"> that in no event shall the annual Facing Fee with respect to any Letter of Credit be less than $500. Accrued Facing Fees shall be due and payable in arrears on the first Business Day of each August, November, February and May (for the calendar quarterly period most recently ended), and on the Revolving Commitment Termination Date or such earlier date upon which the Revolving Commitments are terminated.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pay, upon each payment under, issuance of, or amendment to, any Letter of Credit, such amount as shall at the time of such event be the administrative charge and the reasonable expenses which the applicable Issuing Lender is generally imposing for payment under, issuance of, or amendment to, Letters of Credit issued by it, not to exceed $500 per issuance or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Administrative Agent Fee</w:t>
      </w:r>
      <w:r>
        <w:rPr>
          <w:rFonts w:ascii="Times New Roman" w:hAnsi="Times New Roman"/>
          <w:sz w:val="20"/>
        </w:rPr>
        <w:t xml:space="preserve">. The Borrower agrees to pay to the Administrative Agent, for its own account, fees payable in the amounts and at the times separately agreed upon between the Borrower and the Administrative Agent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Payment of Fees</w:t>
      </w:r>
      <w:r>
        <w:rPr>
          <w:rFonts w:ascii="Times New Roman" w:hAnsi="Times New Roman"/>
          <w:sz w:val="20"/>
        </w:rPr>
        <w:t xml:space="preserve">. All fees payable hereunder shall be paid on the dates due, in immediately available funds, to the Administrative Agent (except the Facing Fee which shall be paid directly to the Issuing Lenders) for distribution, in the case of the Unused Line Fee and the Letter of Credit Fee, to the Lenders entitled thereto. Fees paid shall not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Default Interest</w:t>
      </w:r>
      <w:r>
        <w:rPr>
          <w:rFonts w:ascii="Times New Roman" w:hAnsi="Times New Roman"/>
          <w:sz w:val="20"/>
        </w:rPr>
        <w:t xml:space="preserve">. During such time as there shall have occurred and be continuing an Event of Default, all Obligations (including any accrued and unpaid interest) outstanding, shall, at the election of the Administrative Agent or the Required Lenders, bear interest at a per annum rate equal to two percent (2%) above the applicable rate of interest in effect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Computation</w:t>
      </w:r>
      <w:r>
        <w:rPr>
          <w:rFonts w:ascii="Times New Roman" w:hAnsi="Times New Roman"/>
          <w:sz w:val="20"/>
        </w:rPr>
        <w:t xml:space="preserve">. All computations of interest and fees payable hereunder shall be based upon a year of 360 days for the actual number of days elapsed (which results in more interest being paid than if computed on the basis of a 365-day year).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Application of Insufficient Payments</w:t>
      </w:r>
      <w:r>
        <w:rPr>
          <w:rFonts w:ascii="Times New Roman" w:hAnsi="Times New Roman"/>
          <w:sz w:val="20"/>
        </w:rPr>
        <w:t xml:space="preserve">. If at any time insufficient funds are received by and available to the Administrative Agent to pay fully all amounts of principal, unreimbursed LC Disbursements, interest, fees and prepayment premiums then due under this Agreement and the other Loan Documents, such funds shall be applied (i) first, to pay interest, fees and prepayment premiums then due under this Agreement and the other Loan Documents, ratably among the parties entitled thereto in accordance with the amounts of interest, fees and prepayment premiums then due to such parties, and (ii) second, to pay principal and unreimbursed LC Disbursements then due hereunder, ratably among the parties entitled thereto in accordance with the amounts of principal and unreimbursed LC Disbursements then due to such parties. </w:t>
      </w:r>
    </w:p>
    <w:p>
      <w:pPr>
        <w:pStyle w:val="TextBody"/>
        <w:bidi w:val="0"/>
        <w:spacing w:before="240" w:after="0"/>
        <w:jc w:val="left"/>
        <w:rPr>
          <w:rFonts w:ascii="Times New Roman" w:hAnsi="Times New Roman"/>
          <w:sz w:val="20"/>
        </w:rPr>
      </w:pPr>
      <w:r>
        <w:rPr>
          <w:rFonts w:ascii="Times New Roman" w:hAnsi="Times New Roman"/>
          <w:sz w:val="20"/>
        </w:rPr>
        <w:t>ARTICLE 3.</w:t>
      </w:r>
      <w:r>
        <w:rPr>
          <w:rFonts w:ascii="Times New Roman" w:hAnsi="Times New Roman"/>
          <w:sz w:val="20"/>
          <w:u w:val="single"/>
        </w:rPr>
        <w:t xml:space="preserve"> Incremental Facility.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Incremental Facility Request</w:t>
      </w:r>
      <w:r>
        <w:rPr>
          <w:rFonts w:ascii="Times New Roman" w:hAnsi="Times New Roman"/>
          <w:sz w:val="20"/>
        </w:rPr>
        <w:t xml:space="preserve"> Borrower may, by written notice to the Administrative Agent on one or more occasions prior to the Revolving Commitment Termination Date, elect to request an increase to the existing Revolving Commitments (any such increase, the “</w:t>
      </w:r>
      <w:r>
        <w:rPr>
          <w:rFonts w:ascii="Times New Roman" w:hAnsi="Times New Roman"/>
          <w:sz w:val="20"/>
          <w:u w:val="single"/>
        </w:rPr>
        <w:t>New Revolving Loan Commitments</w:t>
      </w:r>
      <w:r>
        <w:rPr>
          <w:rFonts w:ascii="Times New Roman" w:hAnsi="Times New Roman"/>
          <w:sz w:val="20"/>
        </w:rPr>
        <w:t>”) by an aggregate amount (the “</w:t>
      </w:r>
      <w:r>
        <w:rPr>
          <w:rFonts w:ascii="Times New Roman" w:hAnsi="Times New Roman"/>
          <w:sz w:val="20"/>
          <w:u w:val="single"/>
        </w:rPr>
        <w:t>Maximum Increase Amount</w:t>
      </w:r>
      <w:r>
        <w:rPr>
          <w:rFonts w:ascii="Times New Roman" w:hAnsi="Times New Roman"/>
          <w:sz w:val="20"/>
        </w:rPr>
        <w:t>”) that would result in the Revolving Commitments not exceeding $1,100,000,000 in the aggregate (each such amount in addition to the Revolving Commitments as of the Closing Date, a “</w:t>
      </w:r>
      <w:r>
        <w:rPr>
          <w:rFonts w:ascii="Times New Roman" w:hAnsi="Times New Roman"/>
          <w:sz w:val="20"/>
          <w:u w:val="single"/>
        </w:rPr>
        <w:t>Facility Increase</w:t>
      </w:r>
      <w:r>
        <w:rPr>
          <w:rFonts w:ascii="Times New Roman" w:hAnsi="Times New Roman"/>
          <w:sz w:val="20"/>
        </w:rPr>
        <w:t>”) and not less than $25,000,000 per request (or such lesser amount which shall be approved by Administrative Agent or such lesser amount that shall constitute the difference between the Maximum Increase Amount and the sum of all such New Revolving Loan Commitments obtained prior to such date), and integral multiples of $5,000,000 (or such other amount approved by the Administrative Agent) in excess of that amount. Each such notice shall specify (A) the date (each, an “</w:t>
      </w:r>
      <w:r>
        <w:rPr>
          <w:rFonts w:ascii="Times New Roman" w:hAnsi="Times New Roman"/>
          <w:sz w:val="20"/>
          <w:u w:val="single"/>
        </w:rPr>
        <w:t>Increased Amount Date</w:t>
      </w:r>
      <w:r>
        <w:rPr>
          <w:rFonts w:ascii="Times New Roman" w:hAnsi="Times New Roman"/>
          <w:sz w:val="20"/>
        </w:rPr>
        <w:t xml:space="preserve">”) on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Borrower proposes that the New Revolving Loan Commitments shall be effective, which shall be a date not less than 10 Business Days, nor more than 60 Business Days after the date on which such notice is delivered to the Administrative Agent (or such shorter or longer period as the Administrative Agent may agree in its sole discretion) and (B) the identity of each Lender or other Person that is an Eligible Assignee (each Lender or other Eligible Assignee who agrees to provide all or a portion of the New Revolving Loan Commitments being referred to herein as a “</w:t>
      </w:r>
      <w:r>
        <w:rPr>
          <w:rFonts w:ascii="Times New Roman" w:hAnsi="Times New Roman"/>
          <w:sz w:val="20"/>
          <w:u w:val="single"/>
        </w:rPr>
        <w:t>New Revolving Loan Lender</w:t>
      </w:r>
      <w:r>
        <w:rPr>
          <w:rFonts w:ascii="Times New Roman" w:hAnsi="Times New Roman"/>
          <w:sz w:val="20"/>
        </w:rPr>
        <w:t xml:space="preserve">”) to whom the Borrower proposes any portion of such New Revolving Loan Commitments be allocated and the amounts of such allocations; </w:t>
      </w:r>
      <w:r>
        <w:rPr>
          <w:rFonts w:ascii="Times New Roman" w:hAnsi="Times New Roman"/>
          <w:sz w:val="20"/>
          <w:u w:val="single"/>
        </w:rPr>
        <w:t>provided</w:t>
      </w:r>
      <w:r>
        <w:rPr>
          <w:rFonts w:ascii="Times New Roman" w:hAnsi="Times New Roman"/>
          <w:sz w:val="20"/>
        </w:rPr>
        <w:t xml:space="preserve"> that any Lender or other Eligible Assignee approached to provide all or a portion of the New Revolving Loan Commitments may elect or decline, in its sole discretion, to provide a New Revolving Loan Commitment and any Lender that fails to respond to Borrower’s request shall be deemed to have declined such request.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Facility Increase Arrangers</w:t>
      </w:r>
      <w:r>
        <w:rPr>
          <w:rFonts w:ascii="Times New Roman" w:hAnsi="Times New Roman"/>
          <w:sz w:val="20"/>
        </w:rPr>
        <w:t xml:space="preserve">. Except as provided in </w:t>
      </w:r>
      <w:r>
        <w:rPr>
          <w:rFonts w:ascii="Times New Roman" w:hAnsi="Times New Roman"/>
          <w:sz w:val="20"/>
          <w:u w:val="single"/>
        </w:rPr>
        <w:t>Section 3.1</w:t>
      </w:r>
      <w:r>
        <w:rPr>
          <w:rFonts w:ascii="Times New Roman" w:hAnsi="Times New Roman"/>
          <w:sz w:val="20"/>
        </w:rPr>
        <w:t xml:space="preserve"> above, the Administrative Agent, Deutsche Bank Securities Inc., JPMorgan Chase Bank, N.A. and Goldman Sachs Bank USA, as joint lead arrangers and joint book runners (in such capacities, the “</w:t>
      </w:r>
      <w:r>
        <w:rPr>
          <w:rFonts w:ascii="Times New Roman" w:hAnsi="Times New Roman"/>
          <w:sz w:val="20"/>
          <w:u w:val="single"/>
        </w:rPr>
        <w:t>Facility Increase Arrangers</w:t>
      </w:r>
      <w:r>
        <w:rPr>
          <w:rFonts w:ascii="Times New Roman" w:hAnsi="Times New Roman"/>
          <w:sz w:val="20"/>
        </w:rPr>
        <w:t>”), unless any of them separately waives such right, will manage all aspects of the syndication of the proposed New Revolving Loan Commitments in consultation with the Borrower, including identifying each New Revolving Loan Lender to whom any portion of any Facility Increase shall be allocated, the timing of all offers to Lenders (or their respective Affiliates or Approved Funds) and other Eligible Assignees and the acceptance of commitments, the amounts offered and the compensation provided;</w:t>
      </w:r>
      <w:r>
        <w:rPr>
          <w:rFonts w:ascii="Times New Roman" w:hAnsi="Times New Roman"/>
          <w:sz w:val="20"/>
          <w:u w:val="single"/>
        </w:rPr>
        <w:t xml:space="preserve"> provided</w:t>
      </w:r>
      <w:r>
        <w:rPr>
          <w:rFonts w:ascii="Times New Roman" w:hAnsi="Times New Roman"/>
          <w:sz w:val="20"/>
        </w:rPr>
        <w:t>, that (i) the Facility Increase Arrangers will consult with the Borrower with respect to the syndication of the proposed Facility Increase, (ii) any allocation to any Eligible Assignee that is not a Lender or an Affiliate or Approved Fund of a Lender shall be subject to the consent of the Borrower, the Administrative Agent and each Issuing Lender (in each case, such consent not to be unreasonably withheld or delayed) and (iii) in the event the Facility Increase Arrangers are unable to fully syndicate the proposed Facility Increase by the date which is 10 Business Days prior to the applicable Increased Amount Date, the Borrower may identify Persons who are Eligible Assignees to whom the Facility Increase Arrangers shall allocate any unsyndicated portion of the Facility Increase, subject to the consent rights set forth in</w:t>
      </w:r>
      <w:r>
        <w:rPr>
          <w:rFonts w:ascii="Times New Roman" w:hAnsi="Times New Roman"/>
          <w:sz w:val="20"/>
          <w:u w:val="single"/>
        </w:rPr>
        <w:t xml:space="preserve"> subclause (ii)</w:t>
      </w:r>
      <w:r>
        <w:rPr>
          <w:rFonts w:ascii="Times New Roman" w:hAnsi="Times New Roman"/>
          <w:sz w:val="20"/>
        </w:rPr>
        <w:t xml:space="preserve"> above. Subject to the immediately preceding sentence, the Facility Increase Arrangers and each Lender shall have the ongoing right to sell, assign, syndicate, participate, or transfer all or a portion of its Commitments or Loans or other Obligations owing to it to one or more investors as otherwise provided in </w:t>
      </w:r>
      <w:r>
        <w:rPr>
          <w:rFonts w:ascii="Times New Roman" w:hAnsi="Times New Roman"/>
          <w:sz w:val="20"/>
          <w:u w:val="single"/>
        </w:rPr>
        <w:t>Section 11.8</w:t>
      </w:r>
      <w:r>
        <w:rPr>
          <w:rFonts w:ascii="Times New Roman" w:hAnsi="Times New Roman"/>
          <w:sz w:val="20"/>
        </w:rPr>
        <w:t xml:space="preserve">. Without limitation on the Facility Increase Arrangers’ rights as set forth herein, in the event there are Lenders (or their respective Affiliates or Approved Funds) and Eligible Assignees that have committed to New Revolving Loan Commitments in excess of the maximum amount requested (or permitted), then the Facility Increase Arrangers shall have the right to allocate such commitments, first to Lenders (or their respective Affiliates or Approved Funds) and then to Eligible Assignees, on whatever basis the Facility Increase Arrangers determine is appropriate (except that no such allocation to any Eligible Assignee that is not a Lender or an Affiliate or Approved Fund of any Lender shall be in an amount less than $20,000,000 (or such lesser amount approved by the Administrative Agent) and the Facility Increase Arrangers will consult with the Borrower with respect to such allocations).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Conditions to Effectiveness of Facility Increase</w:t>
      </w:r>
      <w:r>
        <w:rPr>
          <w:rFonts w:ascii="Times New Roman" w:hAnsi="Times New Roman"/>
          <w:sz w:val="20"/>
        </w:rPr>
        <w:t xml:space="preserve">. Such New Revolving Loan Commitments shall become effective as of such Increased Amount Date, subject to the satisfaction of each of the following conditions precedent, as determined by the Administrative Agent in its good faith judgment: </w:t>
      </w:r>
    </w:p>
    <w:p>
      <w:pPr>
        <w:pStyle w:val="TextBody"/>
        <w:bidi w:val="0"/>
        <w:spacing w:before="120" w:after="0"/>
        <w:jc w:val="left"/>
        <w:rPr>
          <w:rFonts w:ascii="Times New Roman" w:hAnsi="Times New Roman"/>
          <w:sz w:val="20"/>
        </w:rPr>
      </w:pPr>
      <w:r>
        <w:rPr>
          <w:rFonts w:ascii="Times New Roman" w:hAnsi="Times New Roman"/>
          <w:sz w:val="20"/>
        </w:rPr>
        <w:t xml:space="preserve">(i) no Potential Default or Event of Default shall exist on such Increased Amount Date before or after giving effect to such Facility Increase;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Parties shall be in pro forma compliance with each of the covenants set forth in </w:t>
      </w:r>
      <w:r>
        <w:rPr>
          <w:rFonts w:ascii="Times New Roman" w:hAnsi="Times New Roman"/>
          <w:sz w:val="20"/>
          <w:u w:val="single"/>
        </w:rPr>
        <w:t>Section 8.11</w:t>
      </w:r>
      <w:r>
        <w:rPr>
          <w:rFonts w:ascii="Times New Roman" w:hAnsi="Times New Roman"/>
          <w:sz w:val="20"/>
        </w:rPr>
        <w:t xml:space="preserve"> that are in effect as of such Increased Amount Date, as of the last day of the most recently ended Fiscal Quarter for which financial statements were required to be delivered under </w:t>
      </w:r>
      <w:r>
        <w:rPr>
          <w:rFonts w:ascii="Times New Roman" w:hAnsi="Times New Roman"/>
          <w:sz w:val="20"/>
          <w:u w:val="single"/>
        </w:rPr>
        <w:t>Section 7.1</w:t>
      </w:r>
      <w:r>
        <w:rPr>
          <w:rFonts w:ascii="Times New Roman" w:hAnsi="Times New Roman"/>
          <w:sz w:val="20"/>
        </w:rPr>
        <w:t xml:space="preserve"> after giving effect to such Facility Increase; </w:t>
      </w:r>
    </w:p>
    <w:p>
      <w:pPr>
        <w:pStyle w:val="TextBody"/>
        <w:bidi w:val="0"/>
        <w:spacing w:before="120" w:after="0"/>
        <w:jc w:val="left"/>
        <w:rPr>
          <w:rFonts w:ascii="Times New Roman" w:hAnsi="Times New Roman"/>
          <w:sz w:val="20"/>
        </w:rPr>
      </w:pPr>
      <w:r>
        <w:rPr>
          <w:rFonts w:ascii="Times New Roman" w:hAnsi="Times New Roman"/>
          <w:sz w:val="20"/>
        </w:rPr>
        <w:t xml:space="preserve">(iii) the New Revolving Loan Commitments shall be effected pursuant to one or more Joinder Agreements executed and delivered by the Borrower, the New Revolving Loan Lender and the Administrative Agent, each of which shall be recorded in the Register, and each New Revolving Loan Lender shall be subject to the requirements set forth in </w:t>
      </w:r>
      <w:r>
        <w:rPr>
          <w:rFonts w:ascii="Times New Roman" w:hAnsi="Times New Roman"/>
          <w:sz w:val="20"/>
          <w:u w:val="single"/>
        </w:rPr>
        <w:t>Section 2.10(6)</w:t>
      </w:r>
      <w:r>
        <w:rPr>
          <w:rFonts w:ascii="Times New Roman" w:hAnsi="Times New Roman"/>
          <w:sz w:val="20"/>
        </w:rPr>
        <w:t xml:space="preserve"> and </w:t>
      </w:r>
      <w:r>
        <w:rPr>
          <w:rFonts w:ascii="Times New Roman" w:hAnsi="Times New Roman"/>
          <w:sz w:val="20"/>
          <w:u w:val="single"/>
        </w:rPr>
        <w:t>Section 2.10(7)</w:t>
      </w:r>
      <w:r>
        <w:rPr>
          <w:rFonts w:ascii="Times New Roman" w:hAnsi="Times New Roman"/>
          <w:sz w:val="20"/>
        </w:rPr>
        <w:t xml:space="preserve">, as applicable, and any New Revolving Loan Lender who is not already a Lender shall become a Lender hereunder; </w:t>
      </w:r>
    </w:p>
    <w:p>
      <w:pPr>
        <w:pStyle w:val="TextBody"/>
        <w:bidi w:val="0"/>
        <w:spacing w:before="120" w:after="0"/>
        <w:jc w:val="left"/>
        <w:rPr>
          <w:rFonts w:ascii="Times New Roman" w:hAnsi="Times New Roman"/>
          <w:sz w:val="20"/>
        </w:rPr>
      </w:pPr>
      <w:r>
        <w:rPr>
          <w:rFonts w:ascii="Times New Roman" w:hAnsi="Times New Roman"/>
          <w:sz w:val="20"/>
        </w:rPr>
        <w:t>(iv) the Borrower shall make any payments required pursuant to</w:t>
      </w:r>
      <w:r>
        <w:rPr>
          <w:rFonts w:ascii="Times New Roman" w:hAnsi="Times New Roman"/>
          <w:sz w:val="20"/>
          <w:u w:val="single"/>
        </w:rPr>
        <w:t xml:space="preserve"> Section</w:t>
      </w:r>
      <w:r>
        <w:rPr>
          <w:rFonts w:ascii="Times New Roman" w:hAnsi="Times New Roman"/>
          <w:sz w:val="20"/>
        </w:rPr>
        <w:t xml:space="preserve"> </w:t>
      </w:r>
      <w:r>
        <w:rPr>
          <w:rFonts w:ascii="Times New Roman" w:hAnsi="Times New Roman"/>
          <w:sz w:val="20"/>
          <w:u w:val="single"/>
        </w:rPr>
        <w:t>2.9</w:t>
      </w:r>
      <w:r>
        <w:rPr>
          <w:rFonts w:ascii="Times New Roman" w:hAnsi="Times New Roman"/>
          <w:sz w:val="20"/>
        </w:rPr>
        <w:t xml:space="preserve"> in connection with the New Revolving Loan Commitments;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shall deliver or cause to be delivered any legal opinions or other documents reasonably requested by the Administrative Agent in connection with any such transaction (including, without limitation, (i) all mortgage amendments increasing the principal amount secured by the Affected Mortgaged Properties to an amount reasonably satisfactory to the Administrative Agent and such other amendments as reasonably required by the Administrative Agent, (ii) title insurance endorsements to the title insurance policies for each of the Affected Mortgaged Properties increasing the title insurance coverage to an amount reasonably satisfactory to, and as reasonably required by, the Administrative Agent and insuring that the insured’s Lien continues in full force and effect subject only to Permitted Encumbrances and (iii) evidence satisfactory to the Administrative Agent that all premiums in respect of any title insurance endorsements referred to in the foregoing clause (ii) and all charges for additional mortgage recording Taxes, if any, and all related expenses for each of the Affected Mortgaged Properties, as reasonably determined by the Administrative Agent,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(vi) as requested by the Administrative Agent, the Borrower Parties shall have acknowledged and ratified that their obligations (including their guarantees and grants of security interests and Liens, as applicable) under the applicable Loan Documents remain in full force and effect after giving effect to the applicable Facility Increase and the implementation thereof; </w:t>
      </w:r>
    </w:p>
    <w:p>
      <w:pPr>
        <w:pStyle w:val="TextBody"/>
        <w:bidi w:val="0"/>
        <w:spacing w:before="120" w:after="0"/>
        <w:jc w:val="left"/>
        <w:rPr>
          <w:rFonts w:ascii="Times New Roman" w:hAnsi="Times New Roman"/>
          <w:sz w:val="20"/>
        </w:rPr>
      </w:pPr>
      <w:r>
        <w:rPr>
          <w:rFonts w:ascii="Times New Roman" w:hAnsi="Times New Roman"/>
          <w:sz w:val="20"/>
        </w:rPr>
        <w:t xml:space="preserve">(vii) the Borrower shall have paid (i) all reasonable out-of-pocket costs and expenses incurred by the Administrative Agent and the Collateral Agent and (ii) all fees as may be agreed by the parties participating in such Facility Increase (including any arrangement or similar fees associated therewith), in each case, in connection with the applicable Facility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representations and warranties made by the Borrower Parties in the Loan Documents shall be true and correct in all material respects (except for changes in factual circumstances not prohibited under the Loan Documents and except further that, in the event any exception or disclosure schedule provided to Administrative Agent in connection with such representations and warranties is proposed by Borrower to be updated, any such updates (other than to reflect changes in factual circumstances not prohibited under the Loan Documents) shall be non-material and shall be approved by the Administrative Agent in its good faith judgment) on and as of the date when made and on and as of the Increased Amount Date (or, if any such representation or warranty is expressly stated to have been made as of a specific date, as of such specific date); </w:t>
      </w:r>
      <w:r>
        <w:rPr>
          <w:rFonts w:ascii="Times New Roman" w:hAnsi="Times New Roman"/>
          <w:sz w:val="20"/>
          <w:u w:val="single"/>
        </w:rPr>
        <w:t>provided however</w:t>
      </w:r>
      <w:r>
        <w:rPr>
          <w:rFonts w:ascii="Times New Roman" w:hAnsi="Times New Roman"/>
          <w:sz w:val="20"/>
        </w:rPr>
        <w:t xml:space="preserve">, that any representation or warranty that is qualified as to materiality or Material Adverse Effect or similar language shall be true and correct in all respects subject to such qualifiers; and </w:t>
      </w:r>
    </w:p>
    <w:p>
      <w:pPr>
        <w:pStyle w:val="TextBody"/>
        <w:bidi w:val="0"/>
        <w:spacing w:before="120" w:after="0"/>
        <w:jc w:val="left"/>
        <w:rPr>
          <w:rFonts w:ascii="Times New Roman" w:hAnsi="Times New Roman"/>
          <w:sz w:val="20"/>
        </w:rPr>
      </w:pPr>
      <w:r>
        <w:rPr>
          <w:rFonts w:ascii="Times New Roman" w:hAnsi="Times New Roman"/>
          <w:sz w:val="20"/>
        </w:rPr>
        <w:t xml:space="preserve">(ix) after giving effect to any such Facility Increase, the total Revolving Credit Exposures shall not exceed the Borrowing Base Amount.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Additional Facility Increase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On any Increased Amount Date on which New Revolving Loan Commitments are effected, subject to the satisfaction of the foregoing terms and conditions, (a) each of the Revolving Lenders shall assign to each of the New Revolving Loan Lenders, and each of the New Revolving Loan Lenders shall purchase from each of the Revolving Lenders, at the principal amount thereof (together with accrued interest), such interests in the Revolving Loans outstanding on such Increased Amount Date as shall be necessary in order that, after giving effect to all such assignments and purchases, such Revolving Loans will be held by existing Revolving Lenders and New Revolving Loan Lenders ratably in accordance with their Revolving Commitments after giving effect to the addition of such New Revolving Loan Commitments to the Revolving Commitments, (b) each Revolving Lender shall automatically and without further act be deemed to have assigned to each of the New Revolving Loan Lenders, and each such New Revolving Loan Lender will automatically and without further act be deemed to have assumed, a portion of such Revolving Lender’s participations hereunder in outstanding Letters of Credit such that, after giving effect to each such deemed assignment and assumption of participations, the aggregate outstanding participations hereunder in Letters of Credit will be held by existing Revolving Lenders and New Revolving Loan Lenders ratably in accordance with their Revolving Commitments after giving effect to the addition of such New Revolving Loan Commitments to the Revolving Commitments, (c) each New Revolving Loan Commitment shall be deemed for all purposes a Revolving Commitment and each loan made thereunder (a “</w:t>
      </w:r>
      <w:r>
        <w:rPr>
          <w:rFonts w:ascii="Times New Roman" w:hAnsi="Times New Roman"/>
          <w:sz w:val="20"/>
          <w:u w:val="single"/>
        </w:rPr>
        <w:t>New Revolving Loan</w:t>
      </w:r>
      <w:r>
        <w:rPr>
          <w:rFonts w:ascii="Times New Roman" w:hAnsi="Times New Roman"/>
          <w:sz w:val="20"/>
        </w:rPr>
        <w:t xml:space="preserve">”) shall be deemed, for all purposes, a Revolving Loan and (d) each New Revolving Loan Lender shall become a Revolving Lender with respect to the New Revolving Loan Commitment and all matters relating thereto. The Administrative Agent and the Revolving Lenders hereby agree that the minimum borrowing, pro rata borrowing and pro rata payment requirements contained elsewhere in this Agreement shall not apply to any of the transactions effected pursuant to this </w:t>
      </w:r>
      <w:r>
        <w:rPr>
          <w:rFonts w:ascii="Times New Roman" w:hAnsi="Times New Roman"/>
          <w:sz w:val="20"/>
          <w:u w:val="single"/>
        </w:rPr>
        <w:t>Article 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Administrative Agent shall notify the Lenders and the Issuing Lenders promptly upon receipt of the Borrower’s notice of each Increased Amount Date and in respect thereof (y) the New Revolving Loan Commitments and the New Revolving Loan Lenders and (z) in the case of each notice to any Lender with a Revolving Commitment, the respective interests in such Lender’s Revolving Loans, in each case subject to the assignments contemplated by this Section. </w:t>
      </w:r>
    </w:p>
    <w:p>
      <w:pPr>
        <w:pStyle w:val="TextBody"/>
        <w:bidi w:val="0"/>
        <w:spacing w:before="240" w:after="0"/>
        <w:jc w:val="left"/>
        <w:rPr>
          <w:rFonts w:ascii="Times New Roman" w:hAnsi="Times New Roman"/>
          <w:sz w:val="20"/>
        </w:rPr>
      </w:pPr>
      <w:r>
        <w:rPr>
          <w:rFonts w:ascii="Times New Roman" w:hAnsi="Times New Roman"/>
          <w:sz w:val="20"/>
        </w:rPr>
        <w:t xml:space="preserve">(3) The terms and provisions of the New Revolving Loan Commitments and New Revolving Loans (other than any upfront or similar fees on the New Revolving Loan Commitments, which shall be determined by the Borrower and the New Revolving Loan Lenders) shall be identical to the existing Revolving Commitments and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(4) Each Joinder Agreement may, without the consent of any other Lenders, effect such amendments to this Agreement and the other Loan Documents as may be necessary or appropriate, in the good faith judgment of the Administrative Agent, to effect the provisions of this </w:t>
      </w:r>
      <w:r>
        <w:rPr>
          <w:rFonts w:ascii="Times New Roman" w:hAnsi="Times New Roman"/>
          <w:sz w:val="20"/>
          <w:u w:val="single"/>
        </w:rPr>
        <w:t>Article 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amendments to </w:t>
      </w:r>
      <w:r>
        <w:rPr>
          <w:rFonts w:ascii="Times New Roman" w:hAnsi="Times New Roman"/>
          <w:sz w:val="20"/>
          <w:u w:val="single"/>
        </w:rPr>
        <w:t>Articles 4</w:t>
      </w:r>
      <w:r>
        <w:rPr>
          <w:rFonts w:ascii="Times New Roman" w:hAnsi="Times New Roman"/>
          <w:sz w:val="20"/>
        </w:rPr>
        <w:t xml:space="preserve"> through </w:t>
      </w:r>
      <w:r>
        <w:rPr>
          <w:rFonts w:ascii="Times New Roman" w:hAnsi="Times New Roman"/>
          <w:sz w:val="20"/>
          <w:u w:val="single"/>
        </w:rPr>
        <w:t>10</w:t>
      </w:r>
      <w:r>
        <w:rPr>
          <w:rFonts w:ascii="Times New Roman" w:hAnsi="Times New Roman"/>
          <w:sz w:val="20"/>
        </w:rPr>
        <w:t xml:space="preserve">, inclusive, that adversely affect a Lender shall be subject to the provisions of </w:t>
      </w:r>
      <w:r>
        <w:rPr>
          <w:rFonts w:ascii="Times New Roman" w:hAnsi="Times New Roman"/>
          <w:sz w:val="20"/>
          <w:u w:val="single"/>
        </w:rPr>
        <w:t>Section 11.2</w:t>
      </w:r>
      <w:r>
        <w:rPr>
          <w:rFonts w:ascii="Times New Roman" w:hAnsi="Times New Roman"/>
          <w:sz w:val="20"/>
        </w:rPr>
        <w:t xml:space="preserve">. All such amendments entered into with the applicable Borrower Parties by the Agents shall be binding and conclusive on all Lenders. </w:t>
      </w:r>
    </w:p>
    <w:p>
      <w:pPr>
        <w:pStyle w:val="TextBody"/>
        <w:bidi w:val="0"/>
        <w:spacing w:before="240" w:after="0"/>
        <w:jc w:val="left"/>
        <w:rPr>
          <w:rFonts w:ascii="Times New Roman" w:hAnsi="Times New Roman"/>
          <w:sz w:val="20"/>
        </w:rPr>
      </w:pPr>
      <w:r>
        <w:rPr>
          <w:rFonts w:ascii="Times New Roman" w:hAnsi="Times New Roman"/>
          <w:sz w:val="20"/>
        </w:rPr>
        <w:t>ARTICLE 4.</w:t>
      </w:r>
      <w:r>
        <w:rPr>
          <w:rFonts w:ascii="Times New Roman" w:hAnsi="Times New Roman"/>
          <w:sz w:val="20"/>
          <w:u w:val="single"/>
        </w:rPr>
        <w:t xml:space="preserve"> Credit Support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REIT Guaranty</w:t>
      </w:r>
      <w:r>
        <w:rPr>
          <w:rFonts w:ascii="Times New Roman" w:hAnsi="Times New Roman"/>
          <w:sz w:val="20"/>
        </w:rPr>
        <w:t xml:space="preserve">. As credit support for the Secured Obligations, on or before the Closing Date, MAC shall execute and deliver to the Administrative Agent, for the benefit of the Lenders, the REIT Guaranty.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Guaranties</w:t>
      </w:r>
      <w:r>
        <w:rPr>
          <w:rFonts w:ascii="Times New Roman" w:hAnsi="Times New Roman"/>
          <w:sz w:val="20"/>
        </w:rPr>
        <w:t xml:space="preserve">. As credit support for the Secured Obligations, on or before the Closing Date, each of the Subsidiary Guarantors listed on </w:t>
      </w:r>
      <w:r>
        <w:rPr>
          <w:rFonts w:ascii="Times New Roman" w:hAnsi="Times New Roman"/>
          <w:sz w:val="20"/>
          <w:u w:val="single"/>
        </w:rPr>
        <w:t>Schedule IV</w:t>
      </w:r>
      <w:r>
        <w:rPr>
          <w:rFonts w:ascii="Times New Roman" w:hAnsi="Times New Roman"/>
          <w:sz w:val="20"/>
        </w:rPr>
        <w:t xml:space="preserve"> and the Borrower shall execute and deliver to the Administrative Agent, for the benefit of the Lenders, the Subsidiary Guaranty.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Pledge Agreement</w:t>
      </w:r>
      <w:r>
        <w:rPr>
          <w:rFonts w:ascii="Times New Roman" w:hAnsi="Times New Roman"/>
          <w:sz w:val="20"/>
        </w:rPr>
        <w:t xml:space="preserve">. As credit support for the Secured Obligations, on or before the Closing Date, the Pledgors as of the Closing Date shall each execute and deliver to the Collateral Agent the Pledge Agreement, pursuant to which each of them shall pledge to the Collateral Agent, for the ratable benefit of the Secured Parties, all of the Collateral of such Pledgor described therein.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Mortgages</w:t>
      </w:r>
      <w:r>
        <w:rPr>
          <w:rFonts w:ascii="Times New Roman" w:hAnsi="Times New Roman"/>
          <w:sz w:val="20"/>
        </w:rPr>
        <w:t xml:space="preserve">. As credit support for the Secured Obligations, on or before the Closing Date, certain of the Subsidiary Guarantors shall execute and deliver to the Collateral Agent Mortgages, pursuant to which each of them shall grant a security interest in the applicable Mortgaged Property described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ARTICLE 5.</w:t>
      </w:r>
      <w:r>
        <w:rPr>
          <w:rFonts w:ascii="Times New Roman" w:hAnsi="Times New Roman"/>
          <w:sz w:val="20"/>
          <w:u w:val="single"/>
        </w:rPr>
        <w:t xml:space="preserve">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Conditions Precedent to Effectiveness</w:t>
      </w:r>
      <w:r>
        <w:rPr>
          <w:rFonts w:ascii="Times New Roman" w:hAnsi="Times New Roman"/>
          <w:sz w:val="20"/>
        </w:rPr>
        <w:t xml:space="preserve">. As conditions precedent to the Closing Date and the effectiveness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 Except to the extent permitted to be delivered after the Closing Date pursuant to </w:t>
      </w:r>
      <w:r>
        <w:rPr>
          <w:rFonts w:ascii="Times New Roman" w:hAnsi="Times New Roman"/>
          <w:sz w:val="20"/>
          <w:u w:val="single"/>
        </w:rPr>
        <w:t>Section 7.17</w:t>
      </w:r>
      <w:r>
        <w:rPr>
          <w:rFonts w:ascii="Times New Roman" w:hAnsi="Times New Roman"/>
          <w:sz w:val="20"/>
        </w:rPr>
        <w:t xml:space="preserve">, the Borrower Parties shall have delivered or shall have caused to be delivered to the Administrative Agent, in form and substance satisfactory to the Administrative Agent, the Collateral Agent, the Lenders and their counsel and duly executed (if applicable) by the appropriate Persons (if requested, with sufficient copies for each of the Lenders), each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requested by any applicable Lender at least three (3) Business Days prior to the Closing Date, a Revolving Loan Note payable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(C) The REIT Guaranty; </w:t>
      </w:r>
    </w:p>
    <w:p>
      <w:pPr>
        <w:pStyle w:val="TextBody"/>
        <w:bidi w:val="0"/>
        <w:spacing w:before="240" w:after="0"/>
        <w:jc w:val="left"/>
        <w:rPr>
          <w:rFonts w:ascii="Times New Roman" w:hAnsi="Times New Roman"/>
          <w:sz w:val="20"/>
        </w:rPr>
      </w:pPr>
      <w:r>
        <w:rPr>
          <w:rFonts w:ascii="Times New Roman" w:hAnsi="Times New Roman"/>
          <w:sz w:val="20"/>
        </w:rPr>
        <w:t xml:space="preserve">(D) The Subsidiary Guaranty; </w:t>
      </w:r>
    </w:p>
    <w:p>
      <w:pPr>
        <w:pStyle w:val="TextBody"/>
        <w:bidi w:val="0"/>
        <w:spacing w:before="240" w:after="0"/>
        <w:jc w:val="left"/>
        <w:rPr>
          <w:rFonts w:ascii="Times New Roman" w:hAnsi="Times New Roman"/>
          <w:sz w:val="20"/>
        </w:rPr>
      </w:pPr>
      <w:r>
        <w:rPr>
          <w:rFonts w:ascii="Times New Roman" w:hAnsi="Times New Roman"/>
          <w:sz w:val="20"/>
        </w:rPr>
        <w:t xml:space="preserve">(E) The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(F) A certificate of the Secretary, Assistant Secretary or other Responsible Officer of each Borrower Party (or such Borrower Party’s general partner, managing member, manager or sole member, if applicable) attaching and certifying (i) the Certificate of Limited Partnership, Articles of Incorporation, Articles of Organization, Certificate of Formation or equivalent registered Organizational Document of such Borrower Party, certified by the Secretary of State of such Borrower Party’s state of incorporation or formation, (ii) the limited partnership agreement, bylaws, limited liability company agreement or equivalent Organizational Document of such Borrower Party, (iii) the resolutions duly adopted by the Board of Directors of such Borrower Party (or the general partner, managing member, manager or sole member of such Borrower Party, if applicable) approving the execution, delivery and performance of the Loan Documents on behalf of such Borrower Party, (iv) a certificate of good standing or analogous documentation for such Borrower Party dated as of a recent date from the Secretary of State of such Borrower Party’s state of incorporation or formation and (v) a certificate of incumbency containing the name, title and true signature of each officer of such Borrower Party (or the general partner, managing member, manager or sole member of such Borrower Party, if applicable) authorized to sign the Loan Documents to which such Borrower Party is a party on behalf of such Borrower Party; </w:t>
      </w:r>
    </w:p>
    <w:p>
      <w:pPr>
        <w:pStyle w:val="TextBody"/>
        <w:bidi w:val="0"/>
        <w:spacing w:before="240" w:after="0"/>
        <w:jc w:val="left"/>
        <w:rPr>
          <w:rFonts w:ascii="Times New Roman" w:hAnsi="Times New Roman"/>
          <w:sz w:val="20"/>
        </w:rPr>
      </w:pPr>
      <w:r>
        <w:rPr>
          <w:rFonts w:ascii="Times New Roman" w:hAnsi="Times New Roman"/>
          <w:sz w:val="20"/>
        </w:rPr>
        <w:t xml:space="preserve">(G) Mortgaged Property Deliverables as requested by the Collateral Agent with respect to each Mortgaged Property; </w:t>
      </w:r>
    </w:p>
    <w:p>
      <w:pPr>
        <w:pStyle w:val="TextBody"/>
        <w:bidi w:val="0"/>
        <w:spacing w:before="240" w:after="0"/>
        <w:jc w:val="left"/>
        <w:rPr>
          <w:rFonts w:ascii="Times New Roman" w:hAnsi="Times New Roman"/>
          <w:sz w:val="20"/>
        </w:rPr>
      </w:pPr>
      <w:r>
        <w:rPr>
          <w:rFonts w:ascii="Times New Roman" w:hAnsi="Times New Roman"/>
          <w:sz w:val="20"/>
        </w:rPr>
        <w:t xml:space="preserve">(H) Opinions of counsel for the Borrower Parties dated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From a Responsible Officer of MAC, a Closing Certificate dated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(J) Evidence satisfactory to the Administrative Agent that all fees required to be paid by the Borrower on or before the Closing Date have been, or will upon the initial funding of the Loans on the Closing Date be, paid in full, including, without limitation, the Participating Lender Upfront Fee (as defined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(K) Evidence satisfactory to the Administrative Agent that all reasonable costs and expenses of the Administrative Agent, the Collateral Agent, and the Joint Lead Arrangers, including, without limitation, fees of outside counsel and fees of third party consultants and appraisers, required to be paid by the Borrower on or prior to the Closing Date have been, or will upon the funding of the Loans on the Closing Date be, paid in full; </w:t>
      </w:r>
    </w:p>
    <w:p>
      <w:pPr>
        <w:pStyle w:val="TextBody"/>
        <w:bidi w:val="0"/>
        <w:spacing w:before="240" w:after="0"/>
        <w:jc w:val="left"/>
        <w:rPr>
          <w:rFonts w:ascii="Times New Roman" w:hAnsi="Times New Roman"/>
          <w:sz w:val="20"/>
        </w:rPr>
      </w:pPr>
      <w:r>
        <w:rPr>
          <w:rFonts w:ascii="Times New Roman" w:hAnsi="Times New Roman"/>
          <w:sz w:val="20"/>
        </w:rPr>
        <w:t xml:space="preserve">(L) The certificates representing the shares of Capital Stock pledged pursuant to the Pledge Agreement (to the extent certificated), together with an undated stock power for each such certificate executed in blank by a Responsible Officer of the pledgor thereof; </w:t>
      </w:r>
    </w:p>
    <w:p>
      <w:pPr>
        <w:pStyle w:val="TextBody"/>
        <w:bidi w:val="0"/>
        <w:spacing w:before="240" w:after="0"/>
        <w:jc w:val="left"/>
        <w:rPr>
          <w:rFonts w:ascii="Times New Roman" w:hAnsi="Times New Roman"/>
          <w:sz w:val="20"/>
        </w:rPr>
      </w:pPr>
      <w:r>
        <w:rPr>
          <w:rFonts w:ascii="Times New Roman" w:hAnsi="Times New Roman"/>
          <w:sz w:val="20"/>
        </w:rPr>
        <w:t xml:space="preserve">(M) The results of recent UCC, lien, judgment, litigation and bankruptcy searches (in the case of UCC searches, in each of the material jurisdictions in which Uniform Commercial Code financing statements or other filings or recordations should be made to evidence or perfect security interests in the assets of the Borrower Parties subject to the Security Documents), which shall be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 The Administrative Agent and each Lender shall have received at least two (2) weeks before the Closing Date all documentation and other information about the Borrower and the Guarantors that shall have been reasonably requested by the Administrative Agent or such Lender in writing at least three (3) weeks prior to the Closing Date and that the Administrative Agent or such Lender reasonably determine is required by the Administrative Agent’s or such Lender’s internal policies and/or U.S. and/or any applicable foreign regulatory authorities under applicable “know your customer” and anti-money laundering rules and regulations, including without limitation PATRIOT Act and the Beneficial Ownership Regulation (including, if the Borrower qualifies as a “legal entity customer” under the Beneficial Ownership Regulation, a Beneficial Ownership Certification in relation to the Borrower as required by the Beneficial Ownership Regulation for each Lender that so requests (which request shall be made through the Administrative Agent)), and the Administrative Agent and the Lenders shall have completed and be satisfied with their “know your customer” due diligence and procedures, anti-financial crime compliance approvals and client on-boarding procedures; </w:t>
      </w:r>
    </w:p>
    <w:p>
      <w:pPr>
        <w:pStyle w:val="TextBody"/>
        <w:bidi w:val="0"/>
        <w:spacing w:before="240" w:after="0"/>
        <w:jc w:val="left"/>
        <w:rPr>
          <w:rFonts w:ascii="Times New Roman" w:hAnsi="Times New Roman"/>
          <w:sz w:val="20"/>
        </w:rPr>
      </w:pPr>
      <w:r>
        <w:rPr>
          <w:rFonts w:ascii="Times New Roman" w:hAnsi="Times New Roman"/>
          <w:sz w:val="20"/>
        </w:rPr>
        <w:t xml:space="preserve">(O) A Borrowing Base Certificate demonstrating that the Borrowing Base Amount as of such date will be greater than or equal to the total Revolving Credit Exposures (calculated on a pro forma basis after giving effect to the prepayments and extensions of credit on the Closing Date) on such date; </w:t>
      </w:r>
    </w:p>
    <w:p>
      <w:pPr>
        <w:pStyle w:val="TextBody"/>
        <w:bidi w:val="0"/>
        <w:spacing w:before="240" w:after="0"/>
        <w:jc w:val="left"/>
        <w:rPr>
          <w:rFonts w:ascii="Times New Roman" w:hAnsi="Times New Roman"/>
          <w:sz w:val="20"/>
        </w:rPr>
      </w:pPr>
      <w:r>
        <w:rPr>
          <w:rFonts w:ascii="Times New Roman" w:hAnsi="Times New Roman"/>
          <w:sz w:val="20"/>
        </w:rPr>
        <w:t xml:space="preserve">(P) A duly executed Borrowing Request for each Borrowing on the Closing Date (to the extent a Borrowing is so desired by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Proper financing statements (Form UCC-1 or the equivalent) for filing under the UCC or other appropriate filing offices of each jurisdiction as may be necessary to perfect the security interests purported to be created by the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(S) A Compliance Certificate demonstrating that MAC and the Borrower are in compliance, on a pro forma basis after giving effect to the Transactions occurring on the Closing Date, with the covenants set forth in</w:t>
      </w:r>
      <w:r>
        <w:rPr>
          <w:rFonts w:ascii="Times New Roman" w:hAnsi="Times New Roman"/>
          <w:sz w:val="20"/>
          <w:u w:val="single"/>
        </w:rPr>
        <w:t xml:space="preserve"> Section 8.11</w:t>
      </w:r>
      <w:r>
        <w:rPr>
          <w:rFonts w:ascii="Times New Roman" w:hAnsi="Times New Roman"/>
          <w:sz w:val="20"/>
        </w:rPr>
        <w:t xml:space="preserve"> that are in effect as of the Closing Date, as of the last day of the most recently ended Fiscal Quarter for which financial statements were required to have been delivered pursuant to </w:t>
      </w:r>
      <w:r>
        <w:rPr>
          <w:rFonts w:ascii="Times New Roman" w:hAnsi="Times New Roman"/>
          <w:sz w:val="20"/>
          <w:u w:val="single"/>
        </w:rPr>
        <w:t>Section 7.1</w:t>
      </w:r>
      <w:r>
        <w:rPr>
          <w:rFonts w:ascii="Times New Roman" w:hAnsi="Times New Roman"/>
          <w:sz w:val="20"/>
        </w:rPr>
        <w:t xml:space="preserve"> of the First Amended and Restated Credit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(T) Each Assignment and Subordination of Property Management Agreement referenced in clause (a)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(2) All representations and warranties of the Borrower Parties set forth herein and in the other Loan Documents shall be accurate and complete in all material respects as if made on and as of the Closing Date, unless any such representation and warranty speaks as of a particular date, in which case it shall be accurate and complete in all material respects as of such date; </w:t>
      </w:r>
      <w:r>
        <w:rPr>
          <w:rFonts w:ascii="Times New Roman" w:hAnsi="Times New Roman"/>
          <w:sz w:val="20"/>
          <w:u w:val="single"/>
        </w:rPr>
        <w:t>provided</w:t>
      </w:r>
      <w:r>
        <w:rPr>
          <w:rFonts w:ascii="Times New Roman" w:hAnsi="Times New Roman"/>
          <w:sz w:val="20"/>
        </w:rPr>
        <w:t xml:space="preserve"> that, in each case, any representation or warranty that is qualified as to materiality or Material Adverse Effect or similar language shall be true and correct in all respects subject to such qualifiers. </w:t>
      </w:r>
    </w:p>
    <w:p>
      <w:pPr>
        <w:pStyle w:val="TextBody"/>
        <w:bidi w:val="0"/>
        <w:spacing w:before="240" w:after="0"/>
        <w:jc w:val="left"/>
        <w:rPr>
          <w:rFonts w:ascii="Times New Roman" w:hAnsi="Times New Roman"/>
          <w:sz w:val="20"/>
        </w:rPr>
      </w:pPr>
      <w:r>
        <w:rPr>
          <w:rFonts w:ascii="Times New Roman" w:hAnsi="Times New Roman"/>
          <w:sz w:val="20"/>
        </w:rPr>
        <w:t xml:space="preserve">(3) There shall not have occurred and be continuing as of the Closing Date any Event of Default or Potential Default. </w:t>
      </w:r>
    </w:p>
    <w:p>
      <w:pPr>
        <w:pStyle w:val="TextBody"/>
        <w:bidi w:val="0"/>
        <w:spacing w:before="240" w:after="0"/>
        <w:jc w:val="left"/>
        <w:rPr>
          <w:rFonts w:ascii="Times New Roman" w:hAnsi="Times New Roman"/>
          <w:sz w:val="20"/>
        </w:rPr>
      </w:pPr>
      <w:r>
        <w:rPr>
          <w:rFonts w:ascii="Times New Roman" w:hAnsi="Times New Roman"/>
          <w:sz w:val="20"/>
        </w:rPr>
        <w:t xml:space="preserve">(4) The Closing Date Payments shall have been consummated, or shall be consummated substantially concurrently with the initial funding of the Loans hereunder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(5) Since the Statement Date, there shall not have occurred any change, occurrence or development that could reasonably be expected, in the good faith opinion of the Administrative Agent or the Lenders,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The making of the initial Loans by the Lenders hereunder on the Closing Date shall conclusively be deemed to constitute an acknowledgement by the Administrative Agent, the Collateral Agent, each Issuing Lender and each Lender that each of the conditions precedent set forth in this </w:t>
      </w:r>
      <w:r>
        <w:rPr>
          <w:rFonts w:ascii="Times New Roman" w:hAnsi="Times New Roman"/>
          <w:sz w:val="20"/>
          <w:u w:val="single"/>
        </w:rPr>
        <w:t>Section 5.1</w:t>
      </w:r>
      <w:r>
        <w:rPr>
          <w:rFonts w:ascii="Times New Roman" w:hAnsi="Times New Roman"/>
          <w:sz w:val="20"/>
        </w:rPr>
        <w:t xml:space="preserve"> shall have been satisfied in accordance with its respective terms or shall have been irrevocably waived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Each Credit Event After the Closing Date</w:t>
      </w:r>
      <w:r>
        <w:rPr>
          <w:rFonts w:ascii="Times New Roman" w:hAnsi="Times New Roman"/>
          <w:sz w:val="20"/>
        </w:rPr>
        <w:t xml:space="preserve">. The obligation of each Lender to make a Loan on the occasion of any New Borrowing (and solely with respect to subsection (2) below, to continue or convert any Term SOFR Borrowing), and of the applicable Issuing Lender to issue, amend or extend any Letter of Credit, after the Closing Date is subject to the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(1) The representations and warranties of the Borrower Parties set forth in this Agreement and in the other Loan Documents shall be true and correct in all material respects (except for changes in factual circumstances not prohibited under the Loan Documents and, except further that, in the event any exception or disclosure schedule provided to Administrative Agent in connection with such representations and warranties is proposed by Borrower to be updated, any such updates (other than to reflect changes in factual circumstances not prohibited under the Loan Documents) shall be non-material and shall be approved by the Administrative Agent in its good faith judgment) on and as of the date of such New Borrowing or the date of issuance, amendment or extension of such Letter of Credit, as applicable (or, if any such representation or warranty is expressly stated to have been made as of a specific date, as of such specific date);</w:t>
      </w:r>
      <w:r>
        <w:rPr>
          <w:rFonts w:ascii="Times New Roman" w:hAnsi="Times New Roman"/>
          <w:sz w:val="20"/>
          <w:u w:val="single"/>
        </w:rPr>
        <w:t xml:space="preserve"> provided</w:t>
      </w:r>
      <w:r>
        <w:rPr>
          <w:rFonts w:ascii="Times New Roman" w:hAnsi="Times New Roman"/>
          <w:sz w:val="20"/>
        </w:rPr>
        <w:t xml:space="preserve"> that any representation or warranty that is qualified as to materiality or Material Adverse Effect or similar language shall be true and correct in all respects subject to such qualifiers; </w:t>
      </w:r>
    </w:p>
    <w:p>
      <w:pPr>
        <w:pStyle w:val="TextBody"/>
        <w:bidi w:val="0"/>
        <w:spacing w:before="240" w:after="0"/>
        <w:jc w:val="left"/>
        <w:rPr>
          <w:rFonts w:ascii="Times New Roman" w:hAnsi="Times New Roman"/>
          <w:sz w:val="20"/>
        </w:rPr>
      </w:pPr>
      <w:r>
        <w:rPr>
          <w:rFonts w:ascii="Times New Roman" w:hAnsi="Times New Roman"/>
          <w:sz w:val="20"/>
        </w:rPr>
        <w:t xml:space="preserve">(2) Immediately after giving effect to a New Borrowing or any continuation of or conversion to a Term SOFR Borrowing or the issuance, amendment or extension of such Letter of Credit, as applicable, no Potential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(3) At the time of each New Borrowing or issuance, amendment or extension of such Letter of Credit, as applicable, a Responsible Officer shall certify that (i) no Potential Default or Event of Default shall have occurred and be continuing and (ii) after giving effect to such New Borrowing or issuance, amendment or extension of such Letter of Credit, as applicable, the Borrower Parties remain in compliance with the covenants set forth in </w:t>
      </w:r>
      <w:r>
        <w:rPr>
          <w:rFonts w:ascii="Times New Roman" w:hAnsi="Times New Roman"/>
          <w:sz w:val="20"/>
          <w:u w:val="single"/>
        </w:rPr>
        <w:t>Article 8</w:t>
      </w:r>
      <w:r>
        <w:rPr>
          <w:rFonts w:ascii="Times New Roman" w:hAnsi="Times New Roman"/>
          <w:sz w:val="20"/>
        </w:rPr>
        <w:t xml:space="preserve"> after giving effect to such New Borrowing or issuance, amendment or extension of such Letter of Credit, as applicable, including supporting documentation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(4) The Administrative Agent and, if applicable, the relevant Issuing Lender, shall have received an executed Borrowing Request or Letter of Credit Request (and, if requested by such Issuing Lender, an executed letter of credit application on such Issuing Lender’s standard form), as applicable, in accordance with the requirements hereof; and </w:t>
      </w:r>
    </w:p>
    <w:p>
      <w:pPr>
        <w:pStyle w:val="TextBody"/>
        <w:bidi w:val="0"/>
        <w:spacing w:before="240" w:after="0"/>
        <w:jc w:val="left"/>
        <w:rPr>
          <w:rFonts w:ascii="Times New Roman" w:hAnsi="Times New Roman"/>
          <w:sz w:val="20"/>
        </w:rPr>
      </w:pPr>
      <w:r>
        <w:rPr>
          <w:rFonts w:ascii="Times New Roman" w:hAnsi="Times New Roman"/>
          <w:sz w:val="20"/>
        </w:rPr>
        <w:t xml:space="preserve">(5) Other than in the case of an amendment of a Letter of Credit that does not increase the Stated Amount or extend the expiration date thereof, the Administrative Agent shall have received an executed Borrowing Base Certificate, dated as of the date of such New Borrowing or issuance, amendment or extension of such Letter of Credit, as applicable, and demonstrating that the total Revolving Credit Exposures as of such date (calculated on a pro forma basis after giving effect to such New Borrowing and the use of proceeds thereof or issuance, amendment or extension of such Letter of Credit, as applicable) will be less than or equal to each of (x) the Borrowing Base Amount and (y) the total Revolving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Each New Borrowing and each issuance, amendment or extension of such Letter of Credit shall be deemed to constitute a representation and warranty by the Borrower on the date thereof as to the matters specified in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ARTICLE 6.</w:t>
      </w:r>
      <w:r>
        <w:rPr>
          <w:rFonts w:ascii="Times New Roman" w:hAnsi="Times New Roman"/>
          <w:sz w:val="20"/>
          <w:u w:val="single"/>
        </w:rPr>
        <w:t xml:space="preserve"> Representations and Warranties</w:t>
      </w:r>
      <w:r>
        <w:rPr>
          <w:rFonts w:ascii="Times New Roman" w:hAnsi="Times New Roman"/>
          <w:sz w:val="20"/>
        </w:rPr>
        <w:t xml:space="preserve">. As an inducement to the Administrative Agent, the Collateral Agent, each Issuing Lender and each Lender to enter into this Agreement, each of the Borrower Parties, collectively and severally, represent and warrant as of the Closing Date (or such later date as otherwise expressly provided in this Agreement), to the Administrative Agent, the Collateral Agent, each Issuing Lender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Financial Condition</w:t>
      </w:r>
      <w:r>
        <w:rPr>
          <w:rFonts w:ascii="Times New Roman" w:hAnsi="Times New Roman"/>
          <w:sz w:val="20"/>
        </w:rPr>
        <w:t>. Complete and accurate copies of the following financial statements and materials have been delivered to the Administrative Agent: (i) audited financial statements of MAC for the Fiscal Year ended December 31, 2024 and (ii) unaudited financial statements of MAC for each Fiscal Quarter, if any, ended after December 31, 2024 and more than 60 days prior to the Closing Date (the materials described in clauses (i) and (ii) are referred to as the “</w:t>
      </w:r>
      <w:r>
        <w:rPr>
          <w:rFonts w:ascii="Times New Roman" w:hAnsi="Times New Roman"/>
          <w:sz w:val="20"/>
          <w:u w:val="single"/>
        </w:rPr>
        <w:t>Initial Financial Statements</w:t>
      </w:r>
      <w:r>
        <w:rPr>
          <w:rFonts w:ascii="Times New Roman" w:hAnsi="Times New Roman"/>
          <w:sz w:val="20"/>
        </w:rPr>
        <w:t xml:space="preserve">”). All financial statements included in the Initial Financial Statements were prepared in all material respects in conformity with GAAP, except as otherwise noted therein, and fairly present in all material respects the respective consolidated financial positions, and the consolidated results of operations and cash flows for each of the periods covered thereby of MAC and its consolidated Subsidiaries as at the respective dates thereof. None of the Borrower Parties or any of their Subsidiaries has any Contingent Obligation, contingent liability or liability for any taxes, long-term leases or commitments, not reflected in its audited financial statements delivered to the Administrative Agent on or prior to the Closing Date or otherwise disclosed to the Administrative Agent and the Lenders in writing, which will have or is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No Material Adverse Effect</w:t>
      </w:r>
      <w:r>
        <w:rPr>
          <w:rFonts w:ascii="Times New Roman" w:hAnsi="Times New Roman"/>
          <w:sz w:val="20"/>
        </w:rPr>
        <w:t xml:space="preserve">. Since the Statement Date no event has occurred which has resulted in, or is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Compliance with Laws and Agreements</w:t>
      </w:r>
      <w:r>
        <w:rPr>
          <w:rFonts w:ascii="Times New Roman" w:hAnsi="Times New Roman"/>
          <w:sz w:val="20"/>
        </w:rPr>
        <w:t xml:space="preserve">. MAC and each of its Subsidiaries is in compliance with all Requirements of Law and Contractual Obligations, except where the failure to do so, individually or in the aggregate,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Organization, Powers; Authorization; Enforceability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Borrower (A) is a limited partnership duly organized, validly existing and in good standing under the laws of the State of Delaware, (B) is duly qualified to do business and is in good standing under the laws of each jurisdiction in which failure to be so qualified and in good standing will have or is reasonably likely to have a Material Adverse Effect, (C) has all requisite partnership power and authority to own, operate and encumber its Property and to conduct its business as presently conducted and (D) is a partnership for purposes of federal income taxation and for purposes of the tax laws of any state or locality in which the Borrower is subject to taxation based on its income. </w:t>
      </w:r>
    </w:p>
    <w:p>
      <w:pPr>
        <w:pStyle w:val="TextBody"/>
        <w:bidi w:val="0"/>
        <w:spacing w:before="240" w:after="0"/>
        <w:jc w:val="left"/>
        <w:rPr>
          <w:rFonts w:ascii="Times New Roman" w:hAnsi="Times New Roman"/>
          <w:sz w:val="20"/>
        </w:rPr>
      </w:pPr>
      <w:r>
        <w:rPr>
          <w:rFonts w:ascii="Times New Roman" w:hAnsi="Times New Roman"/>
          <w:sz w:val="20"/>
        </w:rPr>
        <w:t xml:space="preserve">(2) MAC (A) is a corporation or real estate investment trust duly organized, validly existing and in good standing under the laws of the State of Maryland, (B) is duly authorized and qualified to do business and is in good standing under the laws of each jurisdiction in which failure to be so qualified and in good standing will have or is reasonably likely to have a Material Adverse Effect, and (C) has all requisite corporate or other legal entity power and authority to own, operate and encumber its Property and to conduct its business as presently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Each Subsidiary Guarantor (A) is either a corporation, a limited partnership, a limited liability company or a real estate investment trust duly incorporated, formed or organized, validly existing, and in good standing under the laws of the State of its incorporation, organization and/or formation, (B) is duly qualified to do business and is in good standing under the laws of each jurisdiction in which failure to be so qualified and in good standing will have or is reasonably expected to have a Material Adverse Effect, and (C) has all requisite partnership, limited liability company, corporate or other legal entity power and authority to own, operate and encumber its Property and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(4) True, correct and complete copies of the Organizational Documents described in </w:t>
      </w:r>
      <w:r>
        <w:rPr>
          <w:rFonts w:ascii="Times New Roman" w:hAnsi="Times New Roman"/>
          <w:sz w:val="20"/>
          <w:u w:val="single"/>
        </w:rPr>
        <w:t>Section 5.1(1)(F)</w:t>
      </w:r>
      <w:r>
        <w:rPr>
          <w:rFonts w:ascii="Times New Roman" w:hAnsi="Times New Roman"/>
          <w:sz w:val="20"/>
        </w:rPr>
        <w:t xml:space="preserve"> have been delivered to the Administrative Agent, each of which is in full force and effect, has not been Modified except to the extent indicated therein as of the Closing Date and, to the best knowledge of each of the Borrower Parties, there are no material defaults under such Organizational Documents and no events which, with the passage of time or giving of notice or both, would constitute a material default under such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(5) The Borrower Parties have the requisite partnership, limited liability company, corporate or other legal entity power and authority to execute, deliver and perform this Agreement and each of the other Loan Documents to which they are a party or which are required to be executed on their behalf. The execution, delivery and performance of each of the Loan Documents by the Borrower Parties and the consummation of the transactions contemplated thereby are within their partnership, limited liability company or corporate powers, as applicable, and have been duly authorized by all necessary partnership, limited liability company corporate or other legal entity action, as applicable, which such authorization has not been rescinded. No other partnership, limited liability company, corporate or other legal entity action or proceedings on the part of the Borrower Parties is necessary to consummate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(6) Each of the Loan Documents to which each Borrower Party is a party has been duly executed and delivered on behalf of such Borrower Party and constitutes its legal, valid and binding obligation, enforceable against it in accordance with its terms (subject to bankruptcy, insolvency, reorganization, or other laws affecting creditors’ rights generally and to principles of equity, regardless of whether considered in a proceeding in equity or at law), and is in full force and effect, and all the terms, provisions, agreements and conditions set forth therein and required to be performed or complied with by such Borrower Party on or before the Closing Date have been performed or complied with, and no Potential Default or Event of Default exists thereunder.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No Conflict</w:t>
      </w:r>
      <w:r>
        <w:rPr>
          <w:rFonts w:ascii="Times New Roman" w:hAnsi="Times New Roman"/>
          <w:sz w:val="20"/>
        </w:rPr>
        <w:t xml:space="preserve">. The execution, delivery and performance of the Loan Documents, the borrowing hereunder and the use of the proceeds thereof, will not violate any material Requirement of Law or any Organizational Document or any material Contractual Obligation of MAC or any of its Subsidiaries, or create or result in the creation of any Lien on any material assets of any of the Borrower Parties (except for Liens created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No Material Litigation</w:t>
      </w:r>
      <w:r>
        <w:rPr>
          <w:rFonts w:ascii="Times New Roman" w:hAnsi="Times New Roman"/>
          <w:sz w:val="20"/>
        </w:rPr>
        <w:t xml:space="preserve">. Except as disclosed on </w:t>
      </w:r>
      <w:r>
        <w:rPr>
          <w:rFonts w:ascii="Times New Roman" w:hAnsi="Times New Roman"/>
          <w:sz w:val="20"/>
          <w:u w:val="single"/>
        </w:rPr>
        <w:t>Schedule 6.6</w:t>
      </w:r>
      <w:r>
        <w:rPr>
          <w:rFonts w:ascii="Times New Roman" w:hAnsi="Times New Roman"/>
          <w:sz w:val="20"/>
        </w:rPr>
        <w:t xml:space="preserve"> hereto, no litigation, investigation or proceeding of or before any arbitrator or Governmental Authority is pending or, to the knowledge of the Borrower Parties, threatened by or against MAC or any of its Subsidiaries or against any of such Persons’ Properties or revenues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Taxes</w:t>
      </w:r>
      <w:r>
        <w:rPr>
          <w:rFonts w:ascii="Times New Roman" w:hAnsi="Times New Roman"/>
          <w:sz w:val="20"/>
        </w:rPr>
        <w:t xml:space="preserve">. All federal and other material tax returns, reports and similar statements or filings of MAC and its Subsidiaries have been timely filed. Except for Permitted Encumbrances, all Taxes upon such Persons and upon or relating to their respective Properties, assets, receipts, sales, use, payroll, employment, income, licenses and franchises which are shown in such returns or reports to be due and payable have been paid, except to the extent (i) such Taxes are subject to a Good Faith Contest; or (ii) the non-payment of such Taxes would not, individually or in the aggregate, result in a Material Adverse Effect. The Borrower Parties have no knowledge of any proposed tax assessment against MAC or any of its Subsidiaries that will have or is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Investment Company Act</w:t>
      </w:r>
      <w:r>
        <w:rPr>
          <w:rFonts w:ascii="Times New Roman" w:hAnsi="Times New Roman"/>
          <w:sz w:val="20"/>
        </w:rPr>
        <w:t xml:space="preserve">. Neither the Borrower nor any other Borrower Party, nor any Person controlling such entities is an “investment company” or a company “controlled” by an “investment company” within the meaning of the Investment Company Act of 1940 (as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Subsidiary Entities</w:t>
      </w:r>
      <w:r>
        <w:rPr>
          <w:rFonts w:ascii="Times New Roman" w:hAnsi="Times New Roman"/>
          <w:sz w:val="20"/>
        </w:rPr>
        <w:t>.</w:t>
      </w:r>
      <w:r>
        <w:rPr>
          <w:rFonts w:ascii="Times New Roman" w:hAnsi="Times New Roman"/>
          <w:sz w:val="20"/>
          <w:u w:val="single"/>
        </w:rPr>
        <w:t xml:space="preserve"> Schedule 6.9</w:t>
      </w:r>
      <w:r>
        <w:rPr>
          <w:rFonts w:ascii="Times New Roman" w:hAnsi="Times New Roman"/>
          <w:sz w:val="20"/>
        </w:rPr>
        <w:t xml:space="preserve"> (A) contains charts and diagrams reflecting the corporate structure of the Borrower Parties and their respective Subsidiary Entities indicating the nature of the corporate, partnership, limited liability company or other equity interest in each Person included in such chart or diagram; and (B) accurately sets forth (1) the correct legal name of such Person, the type of organization, and the jurisdiction of its incorporation or organization, and (2) the percentage thereof owned by the Borrower Parties and their Subsidiaries, in each case, as of the Closing Date. None of such issued and outstanding Capital Stock or Securities owned by any Borrower Party or its Subsidiaries is subject to any vesting, redemption, or repurchase agreement, and there are no warrants or options outstanding with respect to such Securities, in each case, as of the Closing Date, except as noted on </w:t>
      </w:r>
      <w:r>
        <w:rPr>
          <w:rFonts w:ascii="Times New Roman" w:hAnsi="Times New Roman"/>
          <w:sz w:val="20"/>
          <w:u w:val="single"/>
        </w:rPr>
        <w:t>Schedule 6.9</w:t>
      </w:r>
      <w:r>
        <w:rPr>
          <w:rFonts w:ascii="Times New Roman" w:hAnsi="Times New Roman"/>
          <w:sz w:val="20"/>
        </w:rPr>
        <w:t xml:space="preserve">. The outstanding Capital Stock of each Subsidiary Entity shown on </w:t>
      </w:r>
      <w:r>
        <w:rPr>
          <w:rFonts w:ascii="Times New Roman" w:hAnsi="Times New Roman"/>
          <w:sz w:val="20"/>
          <w:u w:val="single"/>
        </w:rPr>
        <w:t>Schedule 6.9</w:t>
      </w:r>
      <w:r>
        <w:rPr>
          <w:rFonts w:ascii="Times New Roman" w:hAnsi="Times New Roman"/>
          <w:sz w:val="20"/>
        </w:rPr>
        <w:t xml:space="preserve"> as being owned by a Borrower Party or its Subsidiary is duly authorized and validly issued. Except where failure may not have a Material Adverse Effect, each Subsidiary Entity of the Borrower Parties: (A) is a corporation, limited liability company, or partnership, as indicated on </w:t>
      </w:r>
      <w:r>
        <w:rPr>
          <w:rFonts w:ascii="Times New Roman" w:hAnsi="Times New Roman"/>
          <w:sz w:val="20"/>
          <w:u w:val="single"/>
        </w:rPr>
        <w:t>Schedule 6.9</w:t>
      </w:r>
      <w:r>
        <w:rPr>
          <w:rFonts w:ascii="Times New Roman" w:hAnsi="Times New Roman"/>
          <w:sz w:val="20"/>
        </w:rPr>
        <w:t xml:space="preserve">, duly organized, validly existing and, if applicable, in good standing under the laws of the jurisdiction of its organization, (B) is duly qualified to do business and, if applicable, is in good standing under the laws of each jurisdiction in which failure to be so qualified and in good standing would limit its ability to use the courts of such jurisdiction to enforce Contractual Obligations to which it is a party, and (C) has all requisite partnership, limited liability company or corporate power and authority to own, operate and encumber its Property and to conduct its business as presently conducted and as proposed to be conducted 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Federal Reserve Board Regulations</w:t>
      </w:r>
      <w:r>
        <w:rPr>
          <w:rFonts w:ascii="Times New Roman" w:hAnsi="Times New Roman"/>
          <w:sz w:val="20"/>
        </w:rPr>
        <w:t xml:space="preserve">. Neither the Borrower nor any other Borrower Party is engaged or will engage, principally or as one of its important activities, in the business of extending credit for the purpose of “purchasing” or “carrying” any “Margin Stock” within the respective meanings of such terms under Regulations U, T and X. No part of the proceeds of the Loans will be used, whether directly or indirectly, for “purchasing” or “carrying” “Margin Stock” as so defined for any purpose which violates, or which would be inconsistent with, the provisions of any Requirement of Law (including, without limitation, the Regulations of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ERISA Compliance</w:t>
      </w:r>
      <w:r>
        <w:rPr>
          <w:rFonts w:ascii="Times New Roman" w:hAnsi="Times New Roman"/>
          <w:sz w:val="20"/>
        </w:rPr>
        <w:t xml:space="preserve">. Except as disclosed on </w:t>
      </w:r>
      <w:r>
        <w:rPr>
          <w:rFonts w:ascii="Times New Roman" w:hAnsi="Times New Roman"/>
          <w:sz w:val="20"/>
          <w:u w:val="single"/>
        </w:rPr>
        <w:t>Schedule 6.11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Each Plan is in compliance with the applicable provisions of ERISA, the Code and other federal or state law, except where the failure to do so individually or in the aggregate could not reasonably be expected to result in a Material Adverse Effect. Each Plan which is intended to qualify under Section 401(a) of the Code has received a favorable determination letter from the IRS and to the best knowledge of the Borrower Parties nothing has occurred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(2) There are no pending or, to the best knowledge of the Borrower Parties, threatened claims, actions or lawsuits, or action by any Governmental Authority, with respect to any Plan which has resulted or could reasonably be expected to result in a Material Adverse Effect. There has been no prohibited transaction or violation of the fiduciary responsibility rules with respect to any Plan which has resulted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 No ERISA Event has occurred or is reasonably expected to occur with respect to any Pension Plan or, to the best knowledge of the Borrower Parties, any Multiemployer Plan, which has resulted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 No Pension Plan has any Unfunded Pension Liability, which has resulted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 None of the Borrower Parties or their respective Subsidiaries, nor any ERISA Affiliate has incurred, nor reasonably expects to incur, any liability under Title IV of ERISA with respect to any Pension Plan (other than premiums due and not delinquent under Section 4007 of ERISA), which has resulted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 None of the Borrower Parties or their respective Subsidiaries, nor any ERISA Affiliate has incurred nor reasonably expects to incur any liability (and no event has occurred which, with the giving of notice under Section 4219 of ERISA, would result in such liability) under Section 4201 or 4243 of ERISA with respect to a Multiemployer Plan, which has resulted or could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None of the Borrower Parties or their respective Subsidiaries, nor any ERISA Affiliate has transferred any Unfunded Pension Liability to any person or otherwise engaged in a transaction that is subject to Section 4069 or 4212(c) of ERISA, which has resulted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Assets and Liens</w:t>
      </w:r>
      <w:r>
        <w:rPr>
          <w:rFonts w:ascii="Times New Roman" w:hAnsi="Times New Roman"/>
          <w:sz w:val="20"/>
        </w:rPr>
        <w:t xml:space="preserve">. Each of the Borrower Parties and their respective Subsidiary Entities has good and marketable fee or leasehold title to all Property and assets reflected in the financial statements referred to in </w:t>
      </w:r>
      <w:r>
        <w:rPr>
          <w:rFonts w:ascii="Times New Roman" w:hAnsi="Times New Roman"/>
          <w:sz w:val="20"/>
          <w:u w:val="single"/>
        </w:rPr>
        <w:t>Section 6.1</w:t>
      </w:r>
      <w:r>
        <w:rPr>
          <w:rFonts w:ascii="Times New Roman" w:hAnsi="Times New Roman"/>
          <w:sz w:val="20"/>
        </w:rPr>
        <w:t xml:space="preserve"> above in all material respects, except Property and assets sold or otherwise disposed of in transactions permitted by this Agreement. None of the Borrower Parties, nor their respective Subsidiary Entities, has outstanding Liens on any of its Properties or assets nor are there any security agreements to which it is a party, except for Liens permitted in accordance with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Securities Acts</w:t>
      </w:r>
      <w:r>
        <w:rPr>
          <w:rFonts w:ascii="Times New Roman" w:hAnsi="Times New Roman"/>
          <w:sz w:val="20"/>
        </w:rPr>
        <w:t>. None of the Borrower Parties or their respective Subsidiary Entities has issued any unregistered securities in violation of the registration requirements of Section 5 of the Securities Act of 1933 (as amended from time to time, the “</w:t>
      </w:r>
      <w:r>
        <w:rPr>
          <w:rFonts w:ascii="Times New Roman" w:hAnsi="Times New Roman"/>
          <w:sz w:val="20"/>
          <w:u w:val="single"/>
        </w:rPr>
        <w:t>Act</w:t>
      </w:r>
      <w:r>
        <w:rPr>
          <w:rFonts w:ascii="Times New Roman" w:hAnsi="Times New Roman"/>
          <w:sz w:val="20"/>
        </w:rPr>
        <w:t xml:space="preserve">”) or any other law, nor are they in violation of any rule, regulation or requirement under the Act, or the Securities Exchange Act of 1934, (as amended from time to time) other than violations which could not reasonably be expected to have a Material Adverse Effect. None of the Borrower Parties is required to qualify an indenture under the Trust Indenture Act of 1939, (as amended from time to time) in connection with its execution and delivery of this Agreement or the incurrence of Indebtedness hereunder.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Consents, Etc.</w:t>
      </w:r>
      <w:r>
        <w:rPr>
          <w:rFonts w:ascii="Times New Roman" w:hAnsi="Times New Roman"/>
          <w:sz w:val="20"/>
        </w:rPr>
        <w:t xml:space="preserve"> Except as disclosed in </w:t>
      </w:r>
      <w:r>
        <w:rPr>
          <w:rFonts w:ascii="Times New Roman" w:hAnsi="Times New Roman"/>
          <w:sz w:val="20"/>
          <w:u w:val="single"/>
        </w:rPr>
        <w:t>Schedule 6.14</w:t>
      </w:r>
      <w:r>
        <w:rPr>
          <w:rFonts w:ascii="Times New Roman" w:hAnsi="Times New Roman"/>
          <w:sz w:val="20"/>
        </w:rPr>
        <w:t xml:space="preserve"> (as such schedule may be updated in connection with the addition or release of Collateral and the Guarantors as contemplated by this Agreement; provided that, solely with respect to Borrowing Base Assets, any additions to </w:t>
      </w:r>
      <w:r>
        <w:rPr>
          <w:rFonts w:ascii="Times New Roman" w:hAnsi="Times New Roman"/>
          <w:sz w:val="20"/>
          <w:u w:val="single"/>
        </w:rPr>
        <w:t>Schedule 6.14</w:t>
      </w:r>
      <w:r>
        <w:rPr>
          <w:rFonts w:ascii="Times New Roman" w:hAnsi="Times New Roman"/>
          <w:sz w:val="20"/>
        </w:rPr>
        <w:t xml:space="preserve"> after the Closing Date shall require the prior written consent (including via email) of the Administrative Agent, which may be granted or withheld in its sole discretion) (and if such consent is denied, Borrower may undertake a release of said subject asset from the Borrowing Base Assets as contemplated herein) and except for Uniform Commercial Code financing statement filings and recording of Mortgages, no consent, approval or authorization of, or registration, declaration or filing with any Governmental Authority or any other Person is required on the part of MAC or any of its Subsidiaries in connection with the execution and delivery of the Loan Documents by the Borrower Parties, or the performance of or compliance with the terms, provisions and conditions thereof by such Persons, other than those that have been obtained or will be obtained by the legally required time.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Hazardous Materials</w:t>
      </w:r>
      <w:r>
        <w:rPr>
          <w:rFonts w:ascii="Times New Roman" w:hAnsi="Times New Roman"/>
          <w:sz w:val="20"/>
        </w:rPr>
        <w:t xml:space="preserve">. Except as otherwise disclosed in the reports identified on </w:t>
      </w:r>
      <w:r>
        <w:rPr>
          <w:rFonts w:ascii="Times New Roman" w:hAnsi="Times New Roman"/>
          <w:sz w:val="20"/>
          <w:u w:val="single"/>
        </w:rPr>
        <w:t>Schedule 6.15</w:t>
      </w:r>
      <w:r>
        <w:rPr>
          <w:rFonts w:ascii="Times New Roman" w:hAnsi="Times New Roman"/>
          <w:sz w:val="20"/>
        </w:rPr>
        <w:t>, to the best knowledge of the Borrower Parties: (1) as and to the extent that the same would have a Material Adverse Effect, no Hazardous Materials have been discharged, disposed of, or otherwise released on, under, or from the Retail/Other Properties in material violation of Hazardous Materials Laws; (2) the owners of the Retail/Other Properties have obtained all material environmental, health and safety permits and licenses necessary for their respective operations, and all such permits are in good standing and the holder of each such permit is currently in compliance with all terms and conditions of such permits, except to the extent the failure to obtain such permits or comply therewith is not reasonably expected to result in a Material Adverse Effect; (3) none of the Retail/Other Properties is listed or proposed for listing on the National Priorities List (“</w:t>
      </w:r>
      <w:r>
        <w:rPr>
          <w:rFonts w:ascii="Times New Roman" w:hAnsi="Times New Roman"/>
          <w:sz w:val="20"/>
          <w:u w:val="single"/>
        </w:rPr>
        <w:t>NPL</w:t>
      </w:r>
      <w:r>
        <w:rPr>
          <w:rFonts w:ascii="Times New Roman" w:hAnsi="Times New Roman"/>
          <w:sz w:val="20"/>
        </w:rPr>
        <w:t>”) pursuant to CERCLA or on the Comprehensive Environmental Response Compensation Liability Information System List (“</w:t>
      </w:r>
      <w:r>
        <w:rPr>
          <w:rFonts w:ascii="Times New Roman" w:hAnsi="Times New Roman"/>
          <w:sz w:val="20"/>
          <w:u w:val="single"/>
        </w:rPr>
        <w:t>CERCLIS</w:t>
      </w:r>
      <w:r>
        <w:rPr>
          <w:rFonts w:ascii="Times New Roman" w:hAnsi="Times New Roman"/>
          <w:sz w:val="20"/>
        </w:rPr>
        <w:t xml:space="preserv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 applicable state list of sites requiring remedial action under any Hazardous Materials Laws; (4) none of the owners of the Retail/Other Properties has sent or directly arranged for the transport of any hazardous waste to any site listed or proposed for listing on the NPL, CERCLIS or any similar state list (other than in the ordinary course of its business and as required by applicable law); (5) as and to the extent that the same would have a Material Adverse Effect, there is not now on or in any Retail/Other Property: (a) any landfill or surface impoundment; (b) any underground storage tanks; (c) any asbestos-containing material; or (d) any polychlorinated biphenyls (PCB), which in the case of any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is in material violation of any Hazardous Materials Laws; (6) no environmental Lien has attached (and remains in effect) to any Retail/Other Properties; and (7) no other event has occurred with respect to the presence of Hazardous Materials on or under any of the Properties of MAC or any of its Subsidiaries, which would reasonably be expected to result in a Material Adverse Effect. Notwithstanding the foregoing, except as otherwise disclosed in the reports identified on </w:t>
      </w:r>
      <w:r>
        <w:rPr>
          <w:rFonts w:ascii="Times New Roman" w:hAnsi="Times New Roman"/>
          <w:sz w:val="20"/>
          <w:u w:val="single"/>
        </w:rPr>
        <w:t>Schedule 6.15</w:t>
      </w:r>
      <w:r>
        <w:rPr>
          <w:rFonts w:ascii="Times New Roman" w:hAnsi="Times New Roman"/>
          <w:sz w:val="20"/>
        </w:rPr>
        <w:t xml:space="preserve">, to the best knowledge of the Borrower Parties, on the Closing Date all of the representations set forth above are true and correct with respect to all Real Properties of MAC and its Subsidiaries (and not only the Retail/Other Properties). </w:t>
      </w:r>
    </w:p>
    <w:p>
      <w:pPr>
        <w:pStyle w:val="TextBody"/>
        <w:bidi w:val="0"/>
        <w:spacing w:before="24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Regulated Entities</w:t>
      </w:r>
      <w:r>
        <w:rPr>
          <w:rFonts w:ascii="Times New Roman" w:hAnsi="Times New Roman"/>
          <w:sz w:val="20"/>
        </w:rPr>
        <w:t xml:space="preserve">. Neither MAC nor any of its Subsidiaries: (1) is subject to regulation under the Federal Power Act, the Interstate Commerce Act, any state public utilities code, or any other Federal or state statute or regulation limiting its ability to incur Indebtedness, or (2) is a “foreign person” within the meaning of Section 1445 of the Code.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Copyrights, Patents, Trademarks and Licenses, etc</w:t>
      </w:r>
      <w:r>
        <w:rPr>
          <w:rFonts w:ascii="Times New Roman" w:hAnsi="Times New Roman"/>
          <w:sz w:val="20"/>
        </w:rPr>
        <w:t xml:space="preserve">. To the best knowledge of the Borrower Parties, MAC and its Subsidiaries own or are licensed or otherwise have the right to use all of the patents, trademarks, service marks, trade names, copyrights, contractual franchises, authorizations and other rights that are necessary for the operation of their respective businesses, without conflict with the rights of any other Person, except to the extent that individually or in the aggregate, would not result, or be expected to result, in a Material Adverse Effect. To the best knowledge of the Borrower Parties, no slogan or other advertising device, product, process, method, substance, part or other material now employed, or now contemplated to be employed, by MAC or its Subsidiaries infringes upon any rights held by any other Person, except for any infringements, individually or in the aggregate, which would not result, or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REIT Status</w:t>
      </w:r>
      <w:r>
        <w:rPr>
          <w:rFonts w:ascii="Times New Roman" w:hAnsi="Times New Roman"/>
          <w:sz w:val="20"/>
        </w:rPr>
        <w:t xml:space="preserve">. MAC: (1) is a REIT, (2) has not revoked its election to be a REIT, (3) has not engaged in any material “prohibited transactions” as defined in Section 857(b)(6)(B)(iii) of the Code (or any successor provision thereto), and (4) for all prior tax years subsequent to the effective date of its election to be a REIT has been entitled to, and for its current tax year expects to be entitled to, a dividends paid deduction which meets the requirements of Section 857 of the Code. </w:t>
      </w:r>
    </w:p>
    <w:p>
      <w:pPr>
        <w:pStyle w:val="TextBody"/>
        <w:bidi w:val="0"/>
        <w:spacing w:before="240" w:after="0"/>
        <w:jc w:val="left"/>
        <w:rPr>
          <w:rFonts w:ascii="Times New Roman" w:hAnsi="Times New Roman"/>
          <w:sz w:val="20"/>
        </w:rPr>
      </w:pPr>
      <w:r>
        <w:rPr>
          <w:rFonts w:ascii="Times New Roman" w:hAnsi="Times New Roman"/>
          <w:sz w:val="20"/>
        </w:rPr>
        <w:t xml:space="preserve">6.19. </w:t>
      </w:r>
      <w:r>
        <w:rPr>
          <w:rFonts w:ascii="Times New Roman" w:hAnsi="Times New Roman"/>
          <w:sz w:val="20"/>
          <w:u w:val="single"/>
        </w:rPr>
        <w:t>Insurance</w:t>
      </w:r>
      <w:r>
        <w:rPr>
          <w:rFonts w:ascii="Times New Roman" w:hAnsi="Times New Roman"/>
          <w:sz w:val="20"/>
        </w:rPr>
        <w:t xml:space="preserve">. The Borrower Parties and their Subsidiaries maintain all insurance policies and coverage required under </w:t>
      </w:r>
      <w:r>
        <w:rPr>
          <w:rFonts w:ascii="Times New Roman" w:hAnsi="Times New Roman"/>
          <w:sz w:val="20"/>
          <w:u w:val="single"/>
        </w:rPr>
        <w:t>Section 7.8</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6.20. </w:t>
      </w:r>
      <w:r>
        <w:rPr>
          <w:rFonts w:ascii="Times New Roman" w:hAnsi="Times New Roman"/>
          <w:sz w:val="20"/>
          <w:u w:val="single"/>
        </w:rPr>
        <w:t>Full Disclosure</w:t>
      </w:r>
      <w:r>
        <w:rPr>
          <w:rFonts w:ascii="Times New Roman" w:hAnsi="Times New Roman"/>
          <w:sz w:val="20"/>
        </w:rPr>
        <w:t xml:space="preserve">. None of the representations or warranties made by the Borrower Parties in the Loan Documents as of the date such representations and warranties are made or deemed made, taken as a whole, contains any untrue statement of a material fact or omits to state a material fact necessary to make the statements made therein, in light of the circumstances under which they are made, not misleading; </w:t>
      </w:r>
      <w:r>
        <w:rPr>
          <w:rFonts w:ascii="Times New Roman" w:hAnsi="Times New Roman"/>
          <w:sz w:val="20"/>
          <w:u w:val="single"/>
        </w:rPr>
        <w:t>provided</w:t>
      </w:r>
      <w:r>
        <w:rPr>
          <w:rFonts w:ascii="Times New Roman" w:hAnsi="Times New Roman"/>
          <w:sz w:val="20"/>
        </w:rPr>
        <w:t xml:space="preserve"> that with respect to representations and warranties related to any projected financial information, each of the Borrower Parties represents only that such information was prepared in good faith based on assumptions believed to be reasonable at the time made, it being recognized by the Administrative Agent, the Issuing Lenders and the Lenders that such projections as to future events are not to be viewed as facts and that actual results during the period or periods covered thereby may differ from the projected results. </w:t>
      </w:r>
    </w:p>
    <w:p>
      <w:pPr>
        <w:pStyle w:val="TextBody"/>
        <w:bidi w:val="0"/>
        <w:spacing w:before="240" w:after="0"/>
        <w:jc w:val="left"/>
        <w:rPr>
          <w:rFonts w:ascii="Times New Roman" w:hAnsi="Times New Roman"/>
          <w:sz w:val="20"/>
        </w:rPr>
      </w:pPr>
      <w:r>
        <w:rPr>
          <w:rFonts w:ascii="Times New Roman" w:hAnsi="Times New Roman"/>
          <w:sz w:val="20"/>
        </w:rPr>
        <w:t xml:space="preserve">6.21. </w:t>
      </w:r>
      <w:r>
        <w:rPr>
          <w:rFonts w:ascii="Times New Roman" w:hAnsi="Times New Roman"/>
          <w:sz w:val="20"/>
          <w:u w:val="single"/>
        </w:rPr>
        <w:t>Indebtedness</w:t>
      </w:r>
      <w:r>
        <w:rPr>
          <w:rFonts w:ascii="Times New Roman" w:hAnsi="Times New Roman"/>
          <w:sz w:val="20"/>
        </w:rPr>
        <w:t>.</w:t>
      </w:r>
      <w:r>
        <w:rPr>
          <w:rFonts w:ascii="Times New Roman" w:hAnsi="Times New Roman"/>
          <w:sz w:val="20"/>
          <w:u w:val="single"/>
        </w:rPr>
        <w:t xml:space="preserve"> Schedule 6.21</w:t>
      </w:r>
      <w:r>
        <w:rPr>
          <w:rFonts w:ascii="Times New Roman" w:hAnsi="Times New Roman"/>
          <w:sz w:val="20"/>
        </w:rPr>
        <w:t xml:space="preserve"> sets forth, as of September 30, 2025, all Indebtedness for borrowed money of each of MAC and its Subsidiaries, and, except as set forth on such </w:t>
      </w:r>
      <w:r>
        <w:rPr>
          <w:rFonts w:ascii="Times New Roman" w:hAnsi="Times New Roman"/>
          <w:sz w:val="20"/>
          <w:u w:val="single"/>
        </w:rPr>
        <w:t>Schedule 6.21</w:t>
      </w:r>
      <w:r>
        <w:rPr>
          <w:rFonts w:ascii="Times New Roman" w:hAnsi="Times New Roman"/>
          <w:sz w:val="20"/>
        </w:rPr>
        <w:t xml:space="preserve">, as of the Closing Date, there are no defaults in the payment of principal or interest on any such Indebtedness, and no payments thereunder have been deferred or extended beyond their stated maturity, and, except for the Closing Date Payments and the incurrence of Indebtedness hereunder on the Closing Date, there has been no material change in the type or amount of such Indebtedness since September 30, 2025. </w:t>
      </w:r>
    </w:p>
    <w:p>
      <w:pPr>
        <w:pStyle w:val="TextBody"/>
        <w:bidi w:val="0"/>
        <w:spacing w:before="240" w:after="0"/>
        <w:jc w:val="left"/>
        <w:rPr>
          <w:rFonts w:ascii="Times New Roman" w:hAnsi="Times New Roman"/>
          <w:sz w:val="20"/>
        </w:rPr>
      </w:pPr>
      <w:r>
        <w:rPr>
          <w:rFonts w:ascii="Times New Roman" w:hAnsi="Times New Roman"/>
          <w:sz w:val="20"/>
        </w:rPr>
        <w:t xml:space="preserve">6.22. </w:t>
      </w:r>
      <w:r>
        <w:rPr>
          <w:rFonts w:ascii="Times New Roman" w:hAnsi="Times New Roman"/>
          <w:sz w:val="20"/>
          <w:u w:val="single"/>
        </w:rPr>
        <w:t>Real Property</w:t>
      </w:r>
      <w:r>
        <w:rPr>
          <w:rFonts w:ascii="Times New Roman" w:hAnsi="Times New Roman"/>
          <w:sz w:val="20"/>
        </w:rPr>
        <w:t xml:space="preserve">. Set forth on </w:t>
      </w:r>
      <w:r>
        <w:rPr>
          <w:rFonts w:ascii="Times New Roman" w:hAnsi="Times New Roman"/>
          <w:sz w:val="20"/>
          <w:u w:val="single"/>
        </w:rPr>
        <w:t>Schedule 6.22</w:t>
      </w:r>
      <w:r>
        <w:rPr>
          <w:rFonts w:ascii="Times New Roman" w:hAnsi="Times New Roman"/>
          <w:sz w:val="20"/>
        </w:rPr>
        <w:t xml:space="preserve"> is a list, as of the date of this Agreement, of all of the Projects of MAC and its Subsidiaries, indicating in each case whether the respective property is owned or ground leased by such Persons, the identity of the owner or lessee and the location of the respective property. </w:t>
      </w:r>
    </w:p>
    <w:p>
      <w:pPr>
        <w:pStyle w:val="TextBody"/>
        <w:bidi w:val="0"/>
        <w:spacing w:before="240" w:after="0"/>
        <w:jc w:val="left"/>
        <w:rPr>
          <w:rFonts w:ascii="Times New Roman" w:hAnsi="Times New Roman"/>
          <w:sz w:val="20"/>
        </w:rPr>
      </w:pPr>
      <w:r>
        <w:rPr>
          <w:rFonts w:ascii="Times New Roman" w:hAnsi="Times New Roman"/>
          <w:sz w:val="20"/>
        </w:rPr>
        <w:t xml:space="preserve">6.23. </w:t>
      </w:r>
      <w:r>
        <w:rPr>
          <w:rFonts w:ascii="Times New Roman" w:hAnsi="Times New Roman"/>
          <w:sz w:val="20"/>
          <w:u w:val="single"/>
        </w:rPr>
        <w:t>Brokers</w:t>
      </w:r>
      <w:r>
        <w:rPr>
          <w:rFonts w:ascii="Times New Roman" w:hAnsi="Times New Roman"/>
          <w:sz w:val="20"/>
        </w:rPr>
        <w:t xml:space="preserve">. The Borrower Parties have not dealt with any broker or finder with respect to the transactions embodied in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6.24. </w:t>
      </w:r>
      <w:r>
        <w:rPr>
          <w:rFonts w:ascii="Times New Roman" w:hAnsi="Times New Roman"/>
          <w:sz w:val="20"/>
          <w:u w:val="single"/>
        </w:rPr>
        <w:t>No Default</w:t>
      </w:r>
      <w:r>
        <w:rPr>
          <w:rFonts w:ascii="Times New Roman" w:hAnsi="Times New Roman"/>
          <w:sz w:val="20"/>
        </w:rPr>
        <w:t xml:space="preserve">. No Event of Default or Potential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6.25. </w:t>
      </w:r>
      <w:r>
        <w:rPr>
          <w:rFonts w:ascii="Times New Roman" w:hAnsi="Times New Roman"/>
          <w:sz w:val="20"/>
          <w:u w:val="single"/>
        </w:rPr>
        <w:t>Solvency</w:t>
      </w:r>
      <w:r>
        <w:rPr>
          <w:rFonts w:ascii="Times New Roman" w:hAnsi="Times New Roman"/>
          <w:sz w:val="20"/>
        </w:rPr>
        <w:t xml:space="preserve">. On the Closing Date and after giving effect to all loans made on the Closing Date, each Borrowing and each issuance, amendment or extension of any Letter of Credit, the Borrower Parties, taken as a whole, are and shall be Solvent. </w:t>
      </w:r>
    </w:p>
    <w:p>
      <w:pPr>
        <w:pStyle w:val="TextBody"/>
        <w:bidi w:val="0"/>
        <w:spacing w:before="240" w:after="0"/>
        <w:jc w:val="left"/>
        <w:rPr>
          <w:rFonts w:ascii="Times New Roman" w:hAnsi="Times New Roman"/>
          <w:sz w:val="20"/>
        </w:rPr>
      </w:pPr>
      <w:r>
        <w:rPr>
          <w:rFonts w:ascii="Times New Roman" w:hAnsi="Times New Roman"/>
          <w:sz w:val="20"/>
        </w:rPr>
        <w:t xml:space="preserve">6.26. </w:t>
      </w:r>
      <w:r>
        <w:rPr>
          <w:rFonts w:ascii="Times New Roman" w:hAnsi="Times New Roman"/>
          <w:sz w:val="20"/>
          <w:u w:val="single"/>
        </w:rPr>
        <w:t>Foreign Assets Control Regulations, FCPA, etc.</w:t>
      </w:r>
      <w:r>
        <w:rPr>
          <w:rFonts w:ascii="Times New Roman" w:hAnsi="Times New Roman"/>
          <w:sz w:val="20"/>
        </w:rPr>
        <w:t xml:space="preserve"> None of the Macerich Entities or their Affiliates: (i) is or will be in violation of any Requirements of Law relating to terrorism or money laundering (“</w:t>
      </w:r>
      <w:r>
        <w:rPr>
          <w:rFonts w:ascii="Times New Roman" w:hAnsi="Times New Roman"/>
          <w:sz w:val="20"/>
          <w:u w:val="single"/>
        </w:rPr>
        <w:t>Anti-Terrorism Laws</w:t>
      </w:r>
      <w:r>
        <w:rPr>
          <w:rFonts w:ascii="Times New Roman" w:hAnsi="Times New Roman"/>
          <w:sz w:val="20"/>
        </w:rPr>
        <w:t>”), including Executive Order 13224 of September 23, 2001 Blocking Property and Prohibiting Transactions With Persons Who Commit, Threaten to Commit, or Support Terrorism (66 Fed. Reg. 49079 (2001)) (the “</w:t>
      </w:r>
      <w:r>
        <w:rPr>
          <w:rFonts w:ascii="Times New Roman" w:hAnsi="Times New Roman"/>
          <w:sz w:val="20"/>
          <w:u w:val="single"/>
        </w:rPr>
        <w:t>Executive Order</w:t>
      </w:r>
      <w:r>
        <w:rPr>
          <w:rFonts w:ascii="Times New Roman" w:hAnsi="Times New Roman"/>
          <w:sz w:val="20"/>
        </w:rPr>
        <w:t>”), the Uniting and Strengthening America by Providing Appropriate Tools Required to Intercept and Obstruct Terrorism Act of 2001, Public Law 107-56 (“</w:t>
      </w:r>
      <w:r>
        <w:rPr>
          <w:rFonts w:ascii="Times New Roman" w:hAnsi="Times New Roman"/>
          <w:sz w:val="20"/>
          <w:u w:val="single"/>
        </w:rPr>
        <w:t>Patriot Act</w:t>
      </w:r>
      <w:r>
        <w:rPr>
          <w:rFonts w:ascii="Times New Roman" w:hAnsi="Times New Roman"/>
          <w:sz w:val="20"/>
        </w:rPr>
        <w:t>”) or any other applicable requirements contained in the rules and regulations of the Office of Foreign Assets Control, Department of the Treasury (“</w:t>
      </w:r>
      <w:r>
        <w:rPr>
          <w:rFonts w:ascii="Times New Roman" w:hAnsi="Times New Roman"/>
          <w:sz w:val="20"/>
          <w:u w:val="single"/>
        </w:rPr>
        <w:t>OFAC</w:t>
      </w:r>
      <w:r>
        <w:rPr>
          <w:rFonts w:ascii="Times New Roman" w:hAnsi="Times New Roman"/>
          <w:sz w:val="20"/>
        </w:rPr>
        <w:t>”); (ii) is or will become a “blocked” person listed in or subject to the Annex to the Executive Order; (iii) has been or will be designated as a Specially Designated National on any publicly available lists maintained by OFAC or any other publicly available list of terrorists or terrorist organizations maintained pursuant to the Patriot Act (any person regulated pursuant to clauses (ii) and (iii), a “</w:t>
      </w:r>
      <w:r>
        <w:rPr>
          <w:rFonts w:ascii="Times New Roman" w:hAnsi="Times New Roman"/>
          <w:sz w:val="20"/>
          <w:u w:val="single"/>
        </w:rPr>
        <w:t>Prohibited Person</w:t>
      </w:r>
      <w:r>
        <w:rPr>
          <w:rFonts w:ascii="Times New Roman" w:hAnsi="Times New Roman"/>
          <w:sz w:val="20"/>
        </w:rPr>
        <w:t xml:space="preserve">”); (iv) conducts or will conduct any business or engages or will engage in any transactions or dealings with any Prohibited Person, including the making or receiving of any contribution of funds, goods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services to or for the benefit of any Prohibited Person; or any transactions involving any property or interests in property blocked pursuant to the Executive Order or (v) has taken any action, directly or indirectly, that would result in a violation by such persons of the Foreign Corrupt Practices Act of 1977, as amended, and the rules and regulations thereunder or any other applicable anticorruption law. The Macerich Entities and their Affiliates have conducted their businesses in compliance with applicable Anti-Terrorism Laws and anticorruption laws and have instituted and maintain and will continue to maintain policies and procedures designed to ensure compliance with such laws and with the representation and warranty contained herein. It is acknowledged and agreed that the Borrower is not making any representation or warranty under this </w:t>
      </w:r>
      <w:r>
        <w:rPr>
          <w:rFonts w:ascii="Times New Roman" w:hAnsi="Times New Roman"/>
          <w:sz w:val="20"/>
          <w:u w:val="single"/>
        </w:rPr>
        <w:t>Section 6.26</w:t>
      </w:r>
      <w:r>
        <w:rPr>
          <w:rFonts w:ascii="Times New Roman" w:hAnsi="Times New Roman"/>
          <w:sz w:val="20"/>
        </w:rPr>
        <w:t xml:space="preserve"> about Unaffiliated Partners or their Affiliates, or any of such Unaffiliated Partners’ or their Affiliates’ respective officers, directors, partners, members, shareholders or other beneficial interest holders. </w:t>
      </w:r>
    </w:p>
    <w:p>
      <w:pPr>
        <w:pStyle w:val="TextBody"/>
        <w:bidi w:val="0"/>
        <w:spacing w:before="240" w:after="0"/>
        <w:jc w:val="left"/>
        <w:rPr>
          <w:rFonts w:ascii="Times New Roman" w:hAnsi="Times New Roman"/>
          <w:sz w:val="20"/>
        </w:rPr>
      </w:pPr>
      <w:r>
        <w:rPr>
          <w:rFonts w:ascii="Times New Roman" w:hAnsi="Times New Roman"/>
          <w:sz w:val="20"/>
        </w:rPr>
        <w:t xml:space="preserve">6.27. </w:t>
      </w:r>
      <w:r>
        <w:rPr>
          <w:rFonts w:ascii="Times New Roman" w:hAnsi="Times New Roman"/>
          <w:sz w:val="20"/>
          <w:u w:val="single"/>
        </w:rPr>
        <w:t>Sanctions.</w:t>
      </w:r>
      <w:r>
        <w:rPr>
          <w:rFonts w:ascii="Times New Roman" w:hAnsi="Times New Roman"/>
          <w:sz w:val="20"/>
        </w:rPr>
        <w:t xml:space="preserve"> None of the Macerich Entities or any of their Related Parties is, or is owned or controlled by Persons that are, (i) currently the subject of any Sanctions, or (ii) located, organized or residing in any Designated Jurisdiction. The Macerich Entities will not, directly or indirectly, use the proceeds of the Loans, or lend, contribute or otherwise make available such proceeds to any subsidiary, joint venture partner or other Person, or use any Letter of Credit (i) to fund any activities or business of or with any Person, or in any country or territory, that, at the time of such funding, is, or whose government is, the subject of Sanctions, or (ii) in any other manner that would result in a violation of Sanctions by any Person (including any Lender, any Agent, any Issuing Lender or any other Person participating in the Loans, whether as underwriter, advisor, investor, or otherwise). Each Macerich Entity and its Related Parties are in compliance with all applicable Sanctions in all material respects. Each Macerich Entity has instituted and maintains policies and procedures designed to ensure compliance with applicable Sanctions. It is acknowledged and agreed that the Borrower is not making any representation or warranty under this </w:t>
      </w:r>
      <w:r>
        <w:rPr>
          <w:rFonts w:ascii="Times New Roman" w:hAnsi="Times New Roman"/>
          <w:sz w:val="20"/>
          <w:u w:val="single"/>
        </w:rPr>
        <w:t>Section 6.27</w:t>
      </w:r>
      <w:r>
        <w:rPr>
          <w:rFonts w:ascii="Times New Roman" w:hAnsi="Times New Roman"/>
          <w:sz w:val="20"/>
        </w:rPr>
        <w:t xml:space="preserve"> about Unaffiliated Partners or their Affiliates, or any of such Unaffiliated Partners’ or their Affiliates’ respective officers, directors, partners, members, shareholders or other beneficial interest holders. </w:t>
      </w:r>
    </w:p>
    <w:p>
      <w:pPr>
        <w:pStyle w:val="TextBody"/>
        <w:bidi w:val="0"/>
        <w:spacing w:before="240" w:after="0"/>
        <w:jc w:val="left"/>
        <w:rPr>
          <w:rFonts w:ascii="Times New Roman" w:hAnsi="Times New Roman"/>
          <w:sz w:val="20"/>
        </w:rPr>
      </w:pPr>
      <w:r>
        <w:rPr>
          <w:rFonts w:ascii="Times New Roman" w:hAnsi="Times New Roman"/>
          <w:sz w:val="20"/>
        </w:rPr>
        <w:t xml:space="preserve">The sanctions-related representations in this Section 6.27 shall apply with respect to any Lender only if and to the extent that they do not result in a violation of Section 7 of the German Foreign Trade Ordinance, Council Regulation No. 2271/96 or any other applicable anti-boycott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6.28. </w:t>
      </w:r>
      <w:r>
        <w:rPr>
          <w:rFonts w:ascii="Times New Roman" w:hAnsi="Times New Roman"/>
          <w:sz w:val="20"/>
          <w:u w:val="single"/>
        </w:rPr>
        <w:t>Borrowing Base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Each Borrowing Base Asset satisfies all Borrowing Base Criteria applicable to such Borrowing Base Asset (other than (a) those Borrowing Base Criteria, if any, that have theretofore been waived by the Administrative Agent and the Required Lenders, to the extent of such waiver, and/or (b) the requirement that a ground lease qualify as a Qualifying Ground Lease if such failure is solely the result of the passage of time). </w:t>
      </w:r>
    </w:p>
    <w:p>
      <w:pPr>
        <w:pStyle w:val="TextBody"/>
        <w:bidi w:val="0"/>
        <w:spacing w:before="240" w:after="0"/>
        <w:jc w:val="left"/>
        <w:rPr>
          <w:rFonts w:ascii="Times New Roman" w:hAnsi="Times New Roman"/>
          <w:sz w:val="20"/>
        </w:rPr>
      </w:pPr>
      <w:r>
        <w:rPr>
          <w:rFonts w:ascii="Times New Roman" w:hAnsi="Times New Roman"/>
          <w:sz w:val="20"/>
        </w:rPr>
        <w:t xml:space="preserve">(2) Each Borrowing Base Mortgaged Property Asset is in compliance with all laws, rules and regulations applicable to such Borrowing Base Mortgaged Property Asset, including building, zoning, safety, fire and other health statutes, ordinances and codes, except where the failure to do so, individually or in the aggregate, could not reasonably be expected to result in a Property-Level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If, after the date on which a Property became a Borrowing Base Asset, the representations and warranties set forth above in this </w:t>
      </w:r>
      <w:r>
        <w:rPr>
          <w:rFonts w:ascii="Times New Roman" w:hAnsi="Times New Roman"/>
          <w:sz w:val="20"/>
          <w:u w:val="single"/>
        </w:rPr>
        <w:t>Section 6.28</w:t>
      </w:r>
      <w:r>
        <w:rPr>
          <w:rFonts w:ascii="Times New Roman" w:hAnsi="Times New Roman"/>
          <w:sz w:val="20"/>
        </w:rPr>
        <w:t xml:space="preserve"> cease to be true and accurate with respect to such Borrowing Base Asset, such failure shall not constitute a Potential Default or Event of Default. Rather, such Borrowing Base Asset shall (i) no longer qualify as a Borrowing Base Asset and shall automatically cease to be a Borrowing Base Asset (and cease to be included in the Borrowing Base Amount) on the earliest to occur of (x) the date on which a Responsible Officer of a Borrower Party obtains actual knowledge or (y) the date on which the Borrower receives written notice from the Administrative Agent, in each case of clauses (x) and (y), that any representation and warranty set forth above in this</w:t>
      </w:r>
      <w:r>
        <w:rPr>
          <w:rFonts w:ascii="Times New Roman" w:hAnsi="Times New Roman"/>
          <w:sz w:val="20"/>
          <w:u w:val="single"/>
        </w:rPr>
        <w:t xml:space="preserve"> Section 6.28</w:t>
      </w:r>
      <w:r>
        <w:rPr>
          <w:rFonts w:ascii="Times New Roman" w:hAnsi="Times New Roman"/>
          <w:sz w:val="20"/>
        </w:rPr>
        <w:t xml:space="preserve"> is no longer true and accurate with respect to such Borrowing Base Asset and (ii) other than in the case of a former Borrowing Base Unencumbered Asset, thereafter continue to constitute Collateral (together with, in the case of a former Borrowing Base Mortgaged Property Asset, the related pledges of Capital Stock of the applicable Property Owner) until released in accordance with and subject to the requirements of </w:t>
      </w:r>
      <w:r>
        <w:rPr>
          <w:rFonts w:ascii="Times New Roman" w:hAnsi="Times New Roman"/>
          <w:sz w:val="20"/>
          <w:u w:val="single"/>
        </w:rPr>
        <w:t>Section 10.12</w:t>
      </w:r>
      <w:r>
        <w:rPr>
          <w:rFonts w:ascii="Times New Roman" w:hAnsi="Times New Roman"/>
          <w:sz w:val="20"/>
        </w:rPr>
        <w:t>. Notwithstanding the foregoing, the applicable Property may later be added as a Borrowing Base Asset in accordance with</w:t>
      </w:r>
      <w:r>
        <w:rPr>
          <w:rFonts w:ascii="Times New Roman" w:hAnsi="Times New Roman"/>
          <w:sz w:val="20"/>
          <w:u w:val="single"/>
        </w:rPr>
        <w:t xml:space="preserve"> Section 7.14</w:t>
      </w:r>
      <w:r>
        <w:rPr>
          <w:rFonts w:ascii="Times New Roman" w:hAnsi="Times New Roman"/>
          <w:sz w:val="20"/>
        </w:rPr>
        <w:t xml:space="preserve"> if (i) such Property satisfies all applicable Borrowing Base Criteria and (ii) the representations and warranties set forth above in this </w:t>
      </w:r>
      <w:r>
        <w:rPr>
          <w:rFonts w:ascii="Times New Roman" w:hAnsi="Times New Roman"/>
          <w:sz w:val="20"/>
          <w:u w:val="single"/>
        </w:rPr>
        <w:t>Section 6.28</w:t>
      </w:r>
      <w:r>
        <w:rPr>
          <w:rFonts w:ascii="Times New Roman" w:hAnsi="Times New Roman"/>
          <w:sz w:val="20"/>
        </w:rPr>
        <w:t xml:space="preserve"> will be true and accurate with respect to such Property, in the case of each of the foregoing clauses (i) and (ii), on the date such Property becomes a Borrowing Base Asset again. </w:t>
      </w:r>
    </w:p>
    <w:p>
      <w:pPr>
        <w:pStyle w:val="TextBody"/>
        <w:bidi w:val="0"/>
        <w:spacing w:before="240" w:after="0"/>
        <w:jc w:val="left"/>
        <w:rPr>
          <w:rFonts w:ascii="Times New Roman" w:hAnsi="Times New Roman"/>
          <w:sz w:val="20"/>
        </w:rPr>
      </w:pPr>
      <w:r>
        <w:rPr>
          <w:rFonts w:ascii="Times New Roman" w:hAnsi="Times New Roman"/>
          <w:sz w:val="20"/>
        </w:rPr>
        <w:t xml:space="preserve">6.29. </w:t>
      </w:r>
      <w:r>
        <w:rPr>
          <w:rFonts w:ascii="Times New Roman" w:hAnsi="Times New Roman"/>
          <w:sz w:val="20"/>
          <w:u w:val="single"/>
        </w:rPr>
        <w:t>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The Pledge Agreement is effective to create in favor of the Collateral Agent, for the benefit of the Secured Parties, a legal, valid and enforceable security interest in the Collateral described therein and proceeds thereof, in the case of enforceability, subject to Contractual Encumbrances. When any certificated securities or promissory notes representing such Collateral are delivered to the Collateral Agent, and in the case of the other Collateral described in the Pledge Agreement (other than deposit accounts and securities accounts (and cash and Cash Equivalents on deposit therein or for credit thereto)), when financing statements in appropriate form are filed in the offices specified on</w:t>
      </w:r>
      <w:r>
        <w:rPr>
          <w:rFonts w:ascii="Times New Roman" w:hAnsi="Times New Roman"/>
          <w:sz w:val="20"/>
          <w:u w:val="single"/>
        </w:rPr>
        <w:t xml:space="preserve"> Schedule 6.29</w:t>
      </w:r>
      <w:r>
        <w:rPr>
          <w:rFonts w:ascii="Times New Roman" w:hAnsi="Times New Roman"/>
          <w:sz w:val="20"/>
        </w:rPr>
        <w:t xml:space="preserve"> (which financing statements have been duly completed and delivered to the Collateral Agent), the Lien created by the Pledge Agreement shall constitute a fully perfected first priority Lien on, and security interest in, all right, title and interest of the Pledgors in such Collateral and the proceeds thereof as security for the Secured Obligations, in each case that is prior and superior in right to any other Person. When executed and delivered by the parties thereto, the Account Control Agreements are effective to provide the Collateral Agent, for the benefit of the Secured Parties, with a perfected Lien, and to establish “control” (as such term is used in Article 9 of the UCC) over, the deposit account(s) described therein or “control” (as such term is used in Article 8 of the UCC) over, the securities entitlement(s) described therein, as the case may be. Each of the Mortgages is effective to create in favor of the Collateral Agent, for the benefit of the Secured Parties, a legal, valid and enforceable first priority Lien on, and security interest in, the Mortgaged Properties described therein and proceeds thereof subject only to Permitted Encumbrances, and each of the Mortgages when executed and delivered and when filed in the offices specified on </w:t>
      </w:r>
      <w:r>
        <w:rPr>
          <w:rFonts w:ascii="Times New Roman" w:hAnsi="Times New Roman"/>
          <w:sz w:val="20"/>
          <w:u w:val="single"/>
        </w:rPr>
        <w:t>Schedule 6.29</w:t>
      </w:r>
      <w:r>
        <w:rPr>
          <w:rFonts w:ascii="Times New Roman" w:hAnsi="Times New Roman"/>
          <w:sz w:val="20"/>
        </w:rPr>
        <w:t xml:space="preserve"> shall constitute, or in the case of any Mortgage to be executed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delivered pursuant to </w:t>
      </w:r>
      <w:r>
        <w:rPr>
          <w:rFonts w:ascii="Times New Roman" w:hAnsi="Times New Roman"/>
          <w:sz w:val="20"/>
          <w:u w:val="single"/>
        </w:rPr>
        <w:t>Section 7.14</w:t>
      </w:r>
      <w:r>
        <w:rPr>
          <w:rFonts w:ascii="Times New Roman" w:hAnsi="Times New Roman"/>
          <w:sz w:val="20"/>
        </w:rPr>
        <w:t xml:space="preserve"> when filed in the recording office designated by the Borrower, each such Mortgage shall constitute, a legal, valid and enforceable first priority Lien on, and perfected security interest in, all right, title and interest of the Borrower Parties in the Mortgaged Properties described therein and the proceeds thereof, as security for the Secured Obligations, in each case prior and superior in right to any other Person (subject only to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(2) No Mortgage encumbers improved Real Property which is located in a Special Flood Hazard Area (except any Mortgaged Properties as to which Flood Insurance (as required by Regulation H) has been obtained and is in full force and effect as required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 As of the Closing Date, the Macerich Entities (i) have provided Mortgages on all of their Unencumbered Properties (other than (x) Raw Land and/or Non-Income Producing Properties and (y) the Specified Unencumbered Property Assets) and (ii) have pledged under the Pledge Agreement all of the Capital Stock of the Macerich Entities (other than any Capital Stock identified on </w:t>
      </w:r>
      <w:r>
        <w:rPr>
          <w:rFonts w:ascii="Times New Roman" w:hAnsi="Times New Roman"/>
          <w:sz w:val="20"/>
          <w:u w:val="single"/>
        </w:rPr>
        <w:t>Schedule 6.29</w:t>
      </w:r>
      <w:r>
        <w:rPr>
          <w:rFonts w:ascii="Times New Roman" w:hAnsi="Times New Roman"/>
          <w:sz w:val="20"/>
        </w:rPr>
        <w:t xml:space="preserve">) that is not prohibited from being pledged to secure the Secured Obligations by any joint venture agreement, ground lease, or financing arrangements applicable to the Macerich Entities. As of the Closing Date, </w:t>
      </w:r>
      <w:r>
        <w:rPr>
          <w:rFonts w:ascii="Times New Roman" w:hAnsi="Times New Roman"/>
          <w:sz w:val="20"/>
          <w:u w:val="single"/>
        </w:rPr>
        <w:t>Schedule III</w:t>
      </w:r>
      <w:r>
        <w:rPr>
          <w:rFonts w:ascii="Times New Roman" w:hAnsi="Times New Roman"/>
          <w:sz w:val="20"/>
        </w:rPr>
        <w:t xml:space="preserve"> contains a list of certain Raw Land and/or Non-Income Producing Properties of the Macerich Entities. </w:t>
      </w:r>
    </w:p>
    <w:p>
      <w:pPr>
        <w:pStyle w:val="TextBody"/>
        <w:bidi w:val="0"/>
        <w:spacing w:before="240" w:after="0"/>
        <w:jc w:val="left"/>
        <w:rPr>
          <w:rFonts w:ascii="Times New Roman" w:hAnsi="Times New Roman"/>
          <w:sz w:val="20"/>
        </w:rPr>
      </w:pPr>
      <w:r>
        <w:rPr>
          <w:rFonts w:ascii="Times New Roman" w:hAnsi="Times New Roman"/>
          <w:sz w:val="20"/>
        </w:rPr>
        <w:t xml:space="preserve">6.30. </w:t>
      </w:r>
      <w:r>
        <w:rPr>
          <w:rFonts w:ascii="Times New Roman" w:hAnsi="Times New Roman"/>
          <w:sz w:val="20"/>
          <w:u w:val="single"/>
        </w:rPr>
        <w:t>Outbound Investment Rules.</w:t>
      </w:r>
      <w:r>
        <w:rPr>
          <w:rFonts w:ascii="Times New Roman" w:hAnsi="Times New Roman"/>
          <w:sz w:val="20"/>
        </w:rPr>
        <w:t xml:space="preserve"> None of the Borrower Parties nor any of their respective Subsidiaries is a “covered foreign person” as that term is used in the Outbound Investment Rules. None of the Borrower Parties nor any of their respective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transaction”, as such term is defined in the Outbound Investment Rules, if any Borrower Party or any Subsidiary thereof were a U.S. Person or (iii) any other activity that would cause any Agent or Lender to be in violation of the Outbound Investment Rules or cause any Agent or Lender to be legally prohibited by the Outbound Investment Rules from performing or enforcing its rights under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ARTICLE 7.</w:t>
      </w:r>
      <w:r>
        <w:rPr>
          <w:rFonts w:ascii="Times New Roman" w:hAnsi="Times New Roman"/>
          <w:sz w:val="20"/>
          <w:u w:val="single"/>
        </w:rPr>
        <w:t xml:space="preserve"> Affirmative Covenants</w:t>
      </w:r>
      <w:r>
        <w:rPr>
          <w:rFonts w:ascii="Times New Roman" w:hAnsi="Times New Roman"/>
          <w:sz w:val="20"/>
        </w:rPr>
        <w:t xml:space="preserve">. As an inducement to the Administrative Agent, the Collateral Agent, each Issuing Lender and each Lender to enter into this Agreement, each of the Borrower Parties, collectively and severally, hereby covenants and agrees with the Administrative Agent, the Collateral Agent, each Issuing Lender and each Lender that, from the Closing Date until Payment in Full: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Financial Statements</w:t>
      </w:r>
      <w:r>
        <w:rPr>
          <w:rFonts w:ascii="Times New Roman" w:hAnsi="Times New Roman"/>
          <w:sz w:val="20"/>
        </w:rPr>
        <w:t xml:space="preserve">. The Borrower Parties shall maintain, for themselves, and shall cause each of their respective Subsidiaries to maintain a system of accounting established and administered in accordance with sound business practices to permit preparation of consolidated financial statements in conformity with GAAP. Each of the financial statements and reports described below shall be prepared from such system and records and in form reasonably satisfactory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and shall be provided to the Administrative Agent (and the Administrative Agent shall provide a copy to each requesting Lender): </w:t>
      </w:r>
    </w:p>
    <w:p>
      <w:pPr>
        <w:pStyle w:val="TextBody"/>
        <w:bidi w:val="0"/>
        <w:spacing w:before="120" w:after="0"/>
        <w:jc w:val="left"/>
        <w:rPr>
          <w:rFonts w:ascii="Times New Roman" w:hAnsi="Times New Roman"/>
          <w:sz w:val="20"/>
        </w:rPr>
      </w:pPr>
      <w:r>
        <w:rPr>
          <w:rFonts w:ascii="Times New Roman" w:hAnsi="Times New Roman"/>
          <w:sz w:val="20"/>
        </w:rPr>
        <w:t xml:space="preserve">(1) As soon as practicable, and in any event within ninety (90) days after the close of each Fiscal Year of MAC, the consolidated balance sheet of MAC and its Subsidiaries as of the end of such Fiscal Year and the related consolidated statements of income, stockholders’ equity and cash flow of MAC and its Subsidiaries for such Fiscal Year, setting forth in each case in comparative form the consolidated or combined figures, as the case may be, for the previous Fiscal Year, all in reasonable detail and accompanied by a report thereon of KPMG LLP or other independent certified public accountants of recognized national standing selected by the Borrower or otherwise reasonably satisfactory to the Administrative Agent, which report shall be without a “going concern” or like qualification, exception or explanation (unless due solely to the maturity of the Obligations) and without any qualification or exception as to the scope of such audit, and shall state that such consolidated financial statements fairly present in all material respects the financial position of MAC and its Subsidiaries as at the date indicated and the results of their operations and cash flow for the periods indicated in conformity with GAAP (except as otherwise stated therein) and that the examination by such accountants in connection with such consolidated financial statements has been made in accordance with generally accepted auditing standards; </w:t>
      </w:r>
    </w:p>
    <w:p>
      <w:pPr>
        <w:pStyle w:val="TextBody"/>
        <w:bidi w:val="0"/>
        <w:spacing w:before="120" w:after="0"/>
        <w:jc w:val="left"/>
        <w:rPr>
          <w:rFonts w:ascii="Times New Roman" w:hAnsi="Times New Roman"/>
          <w:sz w:val="20"/>
        </w:rPr>
      </w:pPr>
      <w:r>
        <w:rPr>
          <w:rFonts w:ascii="Times New Roman" w:hAnsi="Times New Roman"/>
          <w:sz w:val="20"/>
        </w:rPr>
        <w:t>(2) As soon as practicable, and in any event within sixty (60) days after the close of each of the first three Fiscal Quarters of each Fiscal Year of MAC, for MAC and its Subsidiaries, unaudited balance sheets as at the close of each such period and the related combined statements of income and cash flow of MAC and its Subsidiaries for such quarter and the portion of the Fiscal Year ended at the end of such quarter, setting forth in each case in comparative form the consolidated or combined figures, as the case may be, for the corresponding periods of the prior Fiscal Year, all in reasonable detail and in conformity with GAAP (except as otherwise stated therein), together with a representation by a Responsible Financial Officer, as of the date of such financial statements, that such financial statements have been prepared in accordance with GAAP (except as otherwise stated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financial statements may not include all of the information and footnotes required by GAAP for complete financial information) and reflect all adjustments that are, in the opinion of management, necessary for a fair presentation in all material respects of the financial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(3) Together with each delivery of any quarterly or annual report pursuant to </w:t>
      </w:r>
      <w:r>
        <w:rPr>
          <w:rFonts w:ascii="Times New Roman" w:hAnsi="Times New Roman"/>
          <w:sz w:val="20"/>
          <w:u w:val="single"/>
        </w:rPr>
        <w:t>subsections (1)</w:t>
      </w:r>
      <w:r>
        <w:rPr>
          <w:rFonts w:ascii="Times New Roman" w:hAnsi="Times New Roman"/>
          <w:sz w:val="20"/>
        </w:rPr>
        <w:t xml:space="preserve"> through </w:t>
      </w:r>
      <w:r>
        <w:rPr>
          <w:rFonts w:ascii="Times New Roman" w:hAnsi="Times New Roman"/>
          <w:sz w:val="20"/>
          <w:u w:val="single"/>
        </w:rPr>
        <w:t>(2)</w:t>
      </w:r>
      <w:r>
        <w:rPr>
          <w:rFonts w:ascii="Times New Roman" w:hAnsi="Times New Roman"/>
          <w:sz w:val="20"/>
        </w:rPr>
        <w:t xml:space="preserve"> of this </w:t>
      </w:r>
      <w:r>
        <w:rPr>
          <w:rFonts w:ascii="Times New Roman" w:hAnsi="Times New Roman"/>
          <w:sz w:val="20"/>
          <w:u w:val="single"/>
        </w:rPr>
        <w:t>Section 7.1</w:t>
      </w:r>
      <w:r>
        <w:rPr>
          <w:rFonts w:ascii="Times New Roman" w:hAnsi="Times New Roman"/>
          <w:sz w:val="20"/>
        </w:rPr>
        <w:t xml:space="preserve">, MAC shall deliver (i) a Compliance Certificate signed by a Responsible Financial Officer of MAC representing and certifying (A) that such Responsible Financial Officer signatory thereto has reviewed the terms of the Loan Documents, and has made, or caused to be made under his/her supervision, a review in reasonable detail of the transactions and consolidated financial condition of MAC and its Subsidiaries, during the Fiscal Quarter or Fiscal Year, as applicable, covered by such reports, that such review has not disclosed the existence during or at the end of such Fiscal Quarter or Fiscal Year, as applicable, and that such officer does not have knowledge of the existence as at the date of such Compliance Certificate, of any condition or event which constitutes an Event of Default or Potential Default, or, if any such condition or event existed or exists, specifying the nature and period of existence thereof and what action the Borrower, MAC or their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taken, are taking and propose to take with respect thereto, (B) the calculations (with such specificity as the Administrative Agent may reasonably request) for the period then ended which demonstrate compliance with the covenants and financial ratios set forth in </w:t>
      </w:r>
      <w:r>
        <w:rPr>
          <w:rFonts w:ascii="Times New Roman" w:hAnsi="Times New Roman"/>
          <w:sz w:val="20"/>
          <w:u w:val="single"/>
        </w:rPr>
        <w:t>Section 8.11</w:t>
      </w:r>
      <w:r>
        <w:rPr>
          <w:rFonts w:ascii="Times New Roman" w:hAnsi="Times New Roman"/>
          <w:sz w:val="20"/>
        </w:rPr>
        <w:t xml:space="preserve"> that are in effect at such time; provided that calculations of the Total Leverage Ratio covenant set forth in </w:t>
      </w:r>
      <w:r>
        <w:rPr>
          <w:rFonts w:ascii="Times New Roman" w:hAnsi="Times New Roman"/>
          <w:sz w:val="20"/>
          <w:u w:val="single"/>
        </w:rPr>
        <w:t>Section 8.11</w:t>
      </w:r>
      <w:r>
        <w:rPr>
          <w:rFonts w:ascii="Times New Roman" w:hAnsi="Times New Roman"/>
          <w:sz w:val="20"/>
        </w:rPr>
        <w:t xml:space="preserve"> shall be included at all times, whether or not such covenant is then in effect (but, for the avoidance of doubt, shall be solely for informational purposes prior the time that such covenant is in effect), (C) a schedule of Total Liabilities in respect of borrowed money in the level of detail disclosed in MAC’s Form 10-Q filings with the Securities and Exchange Commission, as well as such other information regarding such Indebtedness as may be reasonably requested by the Administrative Agent, (D) a schedule of EBITDA and (E) that attached thereto is an updated Schedule III to the Pledge Agreement with respect to any Pledged Mortgage Loans (as defined in the Pledge Agreement) acquired during the period then ended (if any) and (ii) a Quarterly Pricing Certificate signed by a Responsible Financial Officer of MAC representing and certifying to the applicable Debt Yield or Total Leverage Ratio, as applicable, and corresponding “Base Rate Spread” pursuant to the definition of Applicable Base Rate, “SOFR Spread” pursuant to the definition of Applicable Term SOFR Rate and, if applicable at such time, “Alternate Rate Spread” pursuant to the definition of Applicable Alternate Rate as a result thereof; </w:t>
      </w:r>
    </w:p>
    <w:p>
      <w:pPr>
        <w:pStyle w:val="TextBody"/>
        <w:bidi w:val="0"/>
        <w:spacing w:before="240" w:after="0"/>
        <w:jc w:val="left"/>
        <w:rPr>
          <w:rFonts w:ascii="Times New Roman" w:hAnsi="Times New Roman"/>
          <w:sz w:val="20"/>
        </w:rPr>
      </w:pPr>
      <w:r>
        <w:rPr>
          <w:rFonts w:ascii="Times New Roman" w:hAnsi="Times New Roman"/>
          <w:sz w:val="20"/>
        </w:rPr>
        <w:t xml:space="preserve">(4) To the extent not otherwise delivered pursuant to this </w:t>
      </w:r>
      <w:r>
        <w:rPr>
          <w:rFonts w:ascii="Times New Roman" w:hAnsi="Times New Roman"/>
          <w:sz w:val="20"/>
          <w:u w:val="single"/>
        </w:rPr>
        <w:t>Section 7.1</w:t>
      </w:r>
      <w:r>
        <w:rPr>
          <w:rFonts w:ascii="Times New Roman" w:hAnsi="Times New Roman"/>
          <w:sz w:val="20"/>
        </w:rPr>
        <w:t xml:space="preserve">, copies of all financial statements and financial information delivered by the Borrower and MAC (or, upon Administrative Agent’s request, any Subsidiaries of such Persons) from time to time to the holders of any Indebtedness for borrowed money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(5) Copies of all proxy statements, financial statements, and reports which the Borrower or MAC sends to their respective stockholders or limited partners, and copies of all regular, periodic and special reports, and all registration statements under the Act which the Borrower or MAC file with the Securities and Exchange Commission or any Governmental Authority which may be substituted therefore, or with any national securities exchange;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shall not be required to be delivered hereunder such copies for any Lender of prospectuses relating to future series of offerings under registration statements filed under Rule 415 under the Act or other items which such Lender has indicated in writing to the Borrower or MAC from time to time need not be delivered to such Lender; and </w:t>
      </w:r>
    </w:p>
    <w:p>
      <w:pPr>
        <w:pStyle w:val="TextBody"/>
        <w:bidi w:val="0"/>
        <w:spacing w:before="240" w:after="0"/>
        <w:jc w:val="left"/>
        <w:rPr>
          <w:rFonts w:ascii="Times New Roman" w:hAnsi="Times New Roman"/>
          <w:sz w:val="20"/>
        </w:rPr>
      </w:pPr>
      <w:r>
        <w:rPr>
          <w:rFonts w:ascii="Times New Roman" w:hAnsi="Times New Roman"/>
          <w:sz w:val="20"/>
        </w:rPr>
        <w:t xml:space="preserve">(6) Together with each delivery of any quarterly or annual report pursuant to </w:t>
      </w:r>
      <w:r>
        <w:rPr>
          <w:rFonts w:ascii="Times New Roman" w:hAnsi="Times New Roman"/>
          <w:sz w:val="20"/>
          <w:u w:val="single"/>
        </w:rPr>
        <w:t>subsections (1)</w:t>
      </w:r>
      <w:r>
        <w:rPr>
          <w:rFonts w:ascii="Times New Roman" w:hAnsi="Times New Roman"/>
          <w:sz w:val="20"/>
        </w:rPr>
        <w:t xml:space="preserve"> through </w:t>
      </w:r>
      <w:r>
        <w:rPr>
          <w:rFonts w:ascii="Times New Roman" w:hAnsi="Times New Roman"/>
          <w:sz w:val="20"/>
          <w:u w:val="single"/>
        </w:rPr>
        <w:t>(2)</w:t>
      </w:r>
      <w:r>
        <w:rPr>
          <w:rFonts w:ascii="Times New Roman" w:hAnsi="Times New Roman"/>
          <w:sz w:val="20"/>
        </w:rPr>
        <w:t xml:space="preserve"> of this </w:t>
      </w:r>
      <w:r>
        <w:rPr>
          <w:rFonts w:ascii="Times New Roman" w:hAnsi="Times New Roman"/>
          <w:sz w:val="20"/>
          <w:u w:val="single"/>
        </w:rPr>
        <w:t>Section 7.1</w:t>
      </w:r>
      <w:r>
        <w:rPr>
          <w:rFonts w:ascii="Times New Roman" w:hAnsi="Times New Roman"/>
          <w:sz w:val="20"/>
        </w:rPr>
        <w:t xml:space="preserve">, the Borrower shall deliver (A) a Borrowing Base Certificate, as at the end of the most recently ended Fiscal Quarter covered by such financial statements and (B) financial information pertinent to the calculation of Borrowing Base Amount in respect of all Borrowing Base Assets for the period covered in such financial statements, in form and detail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Notwithstanding the foregoing, it is understood and agreed that, for so long as MAC is publicly traded on the New York Stock Exchange, NYSE American or Nasdaq Stock Market, the Borrower Parties shall be deemed to have satisfied their obligations under subsections (1), (2), (3) (only with respect to subclause (C)), (4) and (5) of this</w:t>
      </w:r>
      <w:r>
        <w:rPr>
          <w:rFonts w:ascii="Times New Roman" w:hAnsi="Times New Roman"/>
          <w:sz w:val="20"/>
          <w:u w:val="single"/>
        </w:rPr>
        <w:t xml:space="preserve"> Section 7.1</w:t>
      </w:r>
      <w:r>
        <w:rPr>
          <w:rFonts w:ascii="Times New Roman" w:hAnsi="Times New Roman"/>
          <w:sz w:val="20"/>
        </w:rPr>
        <w:t xml:space="preserve"> by, as applicable, timely filing MAC’s Form 10-Q and Form 10-K with the Securities and Exchange Commission for each applicable period and by filing its proxy statements with the Securities and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Certificates; Reports; Other Information</w:t>
      </w:r>
      <w:r>
        <w:rPr>
          <w:rFonts w:ascii="Times New Roman" w:hAnsi="Times New Roman"/>
          <w:sz w:val="20"/>
        </w:rPr>
        <w:t xml:space="preserve">. The Borrower Parties shall furnish or cause to be furnished to the Administrative Agent for distribution to each of the Issuing Lenders and each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(1) From time to time upon reasonable request by the Administrative Agent, a rent roll, tenant sales report and income statement with respect to any Project; </w:t>
      </w:r>
    </w:p>
    <w:p>
      <w:pPr>
        <w:pStyle w:val="TextBody"/>
        <w:bidi w:val="0"/>
        <w:spacing w:before="240" w:after="0"/>
        <w:jc w:val="left"/>
        <w:rPr>
          <w:rFonts w:ascii="Times New Roman" w:hAnsi="Times New Roman"/>
          <w:sz w:val="20"/>
        </w:rPr>
      </w:pPr>
      <w:r>
        <w:rPr>
          <w:rFonts w:ascii="Times New Roman" w:hAnsi="Times New Roman"/>
          <w:sz w:val="20"/>
        </w:rPr>
        <w:t xml:space="preserve">(2) Upon request by the Administrative Agent, which request shall not be made by the Administrative Agent more than once in any calendar year, (i) a report in form and substance reasonably satisfactory to the Administrative Agent outlining all insurance coverage maintained as of the date of such report by MAC and its Subsidiaries and the duration of such coverage, (ii) evidence that all premiums with respect to such coverage have been paid when due and (iii) other evidence of compliance with </w:t>
      </w:r>
      <w:r>
        <w:rPr>
          <w:rFonts w:ascii="Times New Roman" w:hAnsi="Times New Roman"/>
          <w:sz w:val="20"/>
          <w:u w:val="single"/>
        </w:rPr>
        <w:t>Section 7.8</w:t>
      </w:r>
      <w:r>
        <w:rPr>
          <w:rFonts w:ascii="Times New Roman" w:hAnsi="Times New Roman"/>
          <w:sz w:val="20"/>
        </w:rPr>
        <w:t xml:space="preserve"> as the Administrative Agent may reasonably request, including insurance certificates and endorsements; and </w:t>
      </w:r>
    </w:p>
    <w:p>
      <w:pPr>
        <w:pStyle w:val="TextBody"/>
        <w:bidi w:val="0"/>
        <w:spacing w:before="240" w:after="0"/>
        <w:jc w:val="left"/>
        <w:rPr>
          <w:rFonts w:ascii="Times New Roman" w:hAnsi="Times New Roman"/>
          <w:sz w:val="20"/>
        </w:rPr>
      </w:pPr>
      <w:r>
        <w:rPr>
          <w:rFonts w:ascii="Times New Roman" w:hAnsi="Times New Roman"/>
          <w:sz w:val="20"/>
        </w:rPr>
        <w:t xml:space="preserve">(3) Promptly, such additional financial and other information, including, without limitation, information regarding MAC and/or its Subsidiaries and any of such entities’ assets and Properties as Administrative Agent or any Lender may from time to time reasonably request, including, without limitation, such information as is necessary for any Lender to participate out any of its interests in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Maintenance of Existence and Properties</w:t>
      </w:r>
      <w:r>
        <w:rPr>
          <w:rFonts w:ascii="Times New Roman" w:hAnsi="Times New Roman"/>
          <w:sz w:val="20"/>
        </w:rPr>
        <w:t xml:space="preserve">. The Borrower Parties shall, and shall cause each of their respective Subsidiaries to, at all times: (1) maintain or otherwise conduct its corporate existence or existence as a limited partnership, limited liability company or real estate investment trust, as applicable, in the case of any such Subsidiary (other than any Borrower Party), except to the extent the failure to do so would not reasonably be expected to cause a Material Adverse Effect; </w:t>
      </w:r>
      <w:r>
        <w:rPr>
          <w:rFonts w:ascii="Times New Roman" w:hAnsi="Times New Roman"/>
          <w:sz w:val="20"/>
          <w:u w:val="single"/>
        </w:rPr>
        <w:t>provided</w:t>
      </w:r>
      <w:r>
        <w:rPr>
          <w:rFonts w:ascii="Times New Roman" w:hAnsi="Times New Roman"/>
          <w:sz w:val="20"/>
        </w:rPr>
        <w:t xml:space="preserve"> that (I) any Subsidiary of the Borrower (A) may change its form of organization from one type of legal entity to another to the extent otherwise not prohibited in this Agreement; and (B) may effect a dissolution if such actions are taken subsequent to a Disposition of substantially all of its assets as otherwise not prohibited under this Agreement (including </w:t>
      </w:r>
      <w:r>
        <w:rPr>
          <w:rFonts w:ascii="Times New Roman" w:hAnsi="Times New Roman"/>
          <w:sz w:val="20"/>
          <w:u w:val="single"/>
        </w:rPr>
        <w:t>Section 8.4</w:t>
      </w:r>
      <w:r>
        <w:rPr>
          <w:rFonts w:ascii="Times New Roman" w:hAnsi="Times New Roman"/>
          <w:sz w:val="20"/>
        </w:rPr>
        <w:t xml:space="preserve">); and (II) a Borrower Party and any Subsidiary may merge or consolidate with any Person as otherwise not prohibited by this Agreement (including </w:t>
      </w:r>
      <w:r>
        <w:rPr>
          <w:rFonts w:ascii="Times New Roman" w:hAnsi="Times New Roman"/>
          <w:sz w:val="20"/>
          <w:u w:val="single"/>
        </w:rPr>
        <w:t>Section 8.3</w:t>
      </w:r>
      <w:r>
        <w:rPr>
          <w:rFonts w:ascii="Times New Roman" w:hAnsi="Times New Roman"/>
          <w:sz w:val="20"/>
        </w:rPr>
        <w:t xml:space="preserve">); provided that, (a) if the Borrower or MAC is a party thereto, the Borrower or MAC, as applicable, shall be the surviving entity of such merger or consolidation, and (b) subject to the immediately preceding clause (a), if a Subsidiary Guarantor is a party thereto, either (i) the surviving entity of such merger or consolidation is, or shall substantially concurrently with such merger or consolidation become, a Subsidiary Guarantor or (ii) such Subsidiary Guarantor is released from its guarantee under the Subsidiary Guaranty pursuant to and subject to the requirements set forth in </w:t>
      </w:r>
      <w:r>
        <w:rPr>
          <w:rFonts w:ascii="Times New Roman" w:hAnsi="Times New Roman"/>
          <w:sz w:val="20"/>
          <w:u w:val="single"/>
        </w:rPr>
        <w:t>Section 10.12</w:t>
      </w:r>
      <w:r>
        <w:rPr>
          <w:rFonts w:ascii="Times New Roman" w:hAnsi="Times New Roman"/>
          <w:sz w:val="20"/>
        </w:rPr>
        <w:t xml:space="preserve">; (2) maintain in full force and effect all rights, privileges, licenses, approvals, franchises, Properties and assets material to the conduct of its business, in the case of any Borrower Party (other than MAC or the Borrower) or any such Subsidiary (other than the Borrower), except to the extent the failure to do so would not reasonably be expected to cause a Material Adverse Effect; (3) remain qualified to do business and maintain its good standing in each jurisdiction in which failure to be so qualified and in good standing will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Adverse Effect; (4) not permit, commit or suffer any waste or abandonment of any Project that will have a Material Adverse Effect; and (5) with respect to each Borrower Party, provide written notice to the Administrative Agent and the Collateral Agent of any change in its state of formation, legal name, type of organization or chief executive office address no later than ten (10) Business Days after the date on which such change becomes effective (or such later date as may be agreed to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Inspection of Property; Books and Records; Discussions</w:t>
      </w:r>
      <w:r>
        <w:rPr>
          <w:rFonts w:ascii="Times New Roman" w:hAnsi="Times New Roman"/>
          <w:sz w:val="20"/>
        </w:rPr>
        <w:t>. The Borrower Parties shall, and shall cause each of their respective Subsidiaries to, keep proper books of record and account in which full, true and correct entries in conformity with GAAP and all material Requirements of Law shall be made of all dealings and transactions in relation to its business and activities, and shall permit representatives of the Administrative Agent, at Lenders’ cost and expense (except in the event that an Event of Default is then continuing), to visit and inspect any of its properties and examine and make copies or abstracts from any of its books and records at any reasonable time during normal business hours and as often as may reasonably be desired by the Administrative Agent and to discuss the business, operations, properties and financial and other condition of MAC and its Subsidiaries with officers and employees of such Persons, and with their independent certified public accountants (</w:t>
      </w:r>
      <w:r>
        <w:rPr>
          <w:rFonts w:ascii="Times New Roman" w:hAnsi="Times New Roman"/>
          <w:sz w:val="20"/>
          <w:u w:val="single"/>
        </w:rPr>
        <w:t>provided</w:t>
      </w:r>
      <w:r>
        <w:rPr>
          <w:rFonts w:ascii="Times New Roman" w:hAnsi="Times New Roman"/>
          <w:sz w:val="20"/>
        </w:rPr>
        <w:t xml:space="preserve"> that representatives of such Persons may be present at and participate in any such discussion).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Notices</w:t>
      </w:r>
      <w:r>
        <w:rPr>
          <w:rFonts w:ascii="Times New Roman" w:hAnsi="Times New Roman"/>
          <w:sz w:val="20"/>
        </w:rPr>
        <w:t xml:space="preserve">. The Borrower shall promptly, but in any event within five Business Days after a Responsible Officer of Borrower obtains knowledge thereof, give written notice to the Administrative Agent for distribution to each Issuing Lender and each Lender of: </w:t>
      </w:r>
    </w:p>
    <w:p>
      <w:pPr>
        <w:pStyle w:val="TextBody"/>
        <w:bidi w:val="0"/>
        <w:spacing w:before="120" w:after="0"/>
        <w:jc w:val="left"/>
        <w:rPr>
          <w:rFonts w:ascii="Times New Roman" w:hAnsi="Times New Roman"/>
          <w:sz w:val="20"/>
        </w:rPr>
      </w:pPr>
      <w:r>
        <w:rPr>
          <w:rFonts w:ascii="Times New Roman" w:hAnsi="Times New Roman"/>
          <w:sz w:val="20"/>
        </w:rPr>
        <w:t xml:space="preserve">(1) The occurrence of any Potential Default or Event of Default and, in each case, what action the Borrower has taken, is taking, or is proposing to take in response thereto; </w:t>
      </w:r>
    </w:p>
    <w:p>
      <w:pPr>
        <w:pStyle w:val="TextBody"/>
        <w:bidi w:val="0"/>
        <w:spacing w:before="240" w:after="0"/>
        <w:jc w:val="left"/>
        <w:rPr>
          <w:rFonts w:ascii="Times New Roman" w:hAnsi="Times New Roman"/>
          <w:sz w:val="20"/>
        </w:rPr>
      </w:pPr>
      <w:r>
        <w:rPr>
          <w:rFonts w:ascii="Times New Roman" w:hAnsi="Times New Roman"/>
          <w:sz w:val="20"/>
        </w:rPr>
        <w:t xml:space="preserve">(2) The institution of, or written threat of, any action, suit, proceeding, governmental investigation or arbitration against or affecting MAC or any of its Subsidiaries and not previously disclosed, which action, suit, proceeding, governmental investigation or arbitration (i) exposes, or in the case of multiple actions, suits, proceedings, governmental investigations or arbitrations arising out of the same general allegations or circumstances expose, such Persons, in the Borrower’s reasonable judgment, to liability in an amount aggregating $100,000,000 or more which is not covered by insurance, or (ii) seeks injunctive or other relief which, if obtained, may have a Material Adverse Effect, and shall provide such other information as may be reasonably available to enable the Administrative Agent and its counsel to evaluate such matters. The Borrower, upon request of the Administrative Agent, shall promptly give written notice of the status of any such action, suit, proceeding, governmental investigation or arbitration; </w:t>
      </w:r>
    </w:p>
    <w:p>
      <w:pPr>
        <w:pStyle w:val="TextBody"/>
        <w:bidi w:val="0"/>
        <w:spacing w:before="240" w:after="0"/>
        <w:jc w:val="left"/>
        <w:rPr>
          <w:rFonts w:ascii="Times New Roman" w:hAnsi="Times New Roman"/>
          <w:sz w:val="20"/>
        </w:rPr>
      </w:pPr>
      <w:r>
        <w:rPr>
          <w:rFonts w:ascii="Times New Roman" w:hAnsi="Times New Roman"/>
          <w:sz w:val="20"/>
        </w:rPr>
        <w:t xml:space="preserve">(3) Any labor dispute to which MAC or any of its Subsidiaries becomes a party (including, without limitation, any strikes, lockouts or other disputes relating to any Property of such Persons’ and other facilities) which could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bankruptcy or cessation of operations of any tenant to which greater than 5% of either the Borrower’s or MAC’s share of consolidated minimum rent is attributable; </w:t>
      </w:r>
    </w:p>
    <w:p>
      <w:pPr>
        <w:pStyle w:val="TextBody"/>
        <w:bidi w:val="0"/>
        <w:spacing w:before="240" w:after="0"/>
        <w:jc w:val="left"/>
        <w:rPr>
          <w:rFonts w:ascii="Times New Roman" w:hAnsi="Times New Roman"/>
          <w:sz w:val="20"/>
        </w:rPr>
      </w:pPr>
      <w:r>
        <w:rPr>
          <w:rFonts w:ascii="Times New Roman" w:hAnsi="Times New Roman"/>
          <w:sz w:val="20"/>
        </w:rPr>
        <w:t xml:space="preserve">(5) The occurrence of any ERISA Event, specifying the nature thereof, what action any Consolidated Entity or any ERISA Affiliate has taken, is taking or proposes to take with respect thereto and, when known, any action taken or threatened by the Internal Revenue Service, the Department of Labor or the PBGC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(6) Any condition or event which causes any Borrowing Base Asset to (i) fail to satisfy any of the Borrowing Base Criteria (other than (a) those Borrowing Base Criteria, if any, that did not apply at the time the subject asset became a Borrowing Base Asset or have theretofore been waived by the Administrative Agent and the Required Lenders, to the extent of such waiver, and/or (b) the passage of time, which would cause a ground leased property to no longer qualify as a Qualifying Ground Lease) or (ii) otherwise cease to be a Borrowing Base Asset pursuant to </w:t>
      </w:r>
      <w:r>
        <w:rPr>
          <w:rFonts w:ascii="Times New Roman" w:hAnsi="Times New Roman"/>
          <w:sz w:val="20"/>
          <w:u w:val="single"/>
        </w:rPr>
        <w:t>Section 6.28(3)</w:t>
      </w:r>
      <w:r>
        <w:rPr>
          <w:rFonts w:ascii="Times New Roman" w:hAnsi="Times New Roman"/>
          <w:sz w:val="20"/>
        </w:rPr>
        <w:t xml:space="preserve">, </w:t>
      </w:r>
      <w:r>
        <w:rPr>
          <w:rFonts w:ascii="Times New Roman" w:hAnsi="Times New Roman"/>
          <w:sz w:val="20"/>
          <w:u w:val="single"/>
        </w:rPr>
        <w:t>Section 7.16(8)</w:t>
      </w:r>
      <w:r>
        <w:rPr>
          <w:rFonts w:ascii="Times New Roman" w:hAnsi="Times New Roman"/>
          <w:sz w:val="20"/>
        </w:rPr>
        <w:t xml:space="preserve"> or </w:t>
      </w:r>
      <w:r>
        <w:rPr>
          <w:rFonts w:ascii="Times New Roman" w:hAnsi="Times New Roman"/>
          <w:sz w:val="20"/>
          <w:u w:val="single"/>
        </w:rPr>
        <w:t>Section 9.9</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(7) Any event not disclosed pursuant to subsections (1) through (6) above which could reasonably be expected to result in either (i) a Material Adverse Effect or (ii) in the case of any Borrowing Base Mortgaged Property Asset, any Borrowing Base Unencumbered Asset, any other Mortgaged Property or any Retail/Other Property directly or indirectly owned by any Person whose Capital Stock constitutes a Borrowing Base Equity Interest Asset, a Borrowing Base Unencumbered Equity Interest Asset or an Additional Equity Interest Asset, a Property-Level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Expenses</w:t>
      </w:r>
      <w:r>
        <w:rPr>
          <w:rFonts w:ascii="Times New Roman" w:hAnsi="Times New Roman"/>
          <w:sz w:val="20"/>
        </w:rPr>
        <w:t xml:space="preserve">. The Borrower shall pay all reasonable and documented out-of-pocket expenses (including reasonable fees and disbursements of outside counsel): (1) of the Administrative Agent and the Collateral Agent incident to the preparation, negotiation and administration of the Loan Documents, including any proposed Modifications or waivers with respect thereto, the syndication of the Commitments (but such expenses shall not include any fees paid to the syndicate members), and the preservation and protection of the rights of the Lenders, the Issuing Lenders, the Administrative Agent and the Collateral Agent under the Loan Documents (including in respect of the Collateral), and (2) of the Administrative Agent, the Collateral Agent, each of the Issuing Lenders and each of the Lenders incident to the enforcement of payment of the Secured Obligations and/or the exercise of remedies in respect of the Collateral, whether by judicial proceedings or otherwise, including, without limitation, in connection with bankruptcy, insolvency, liquidation, reorganization, moratorium or other similar proceedings involving any Borrower Party or a “workout” of the Secured Obligations; </w:t>
      </w:r>
      <w:r>
        <w:rPr>
          <w:rFonts w:ascii="Times New Roman" w:hAnsi="Times New Roman"/>
          <w:sz w:val="20"/>
          <w:u w:val="single"/>
        </w:rPr>
        <w:t>provided</w:t>
      </w:r>
      <w:r>
        <w:rPr>
          <w:rFonts w:ascii="Times New Roman" w:hAnsi="Times New Roman"/>
          <w:sz w:val="20"/>
        </w:rPr>
        <w:t xml:space="preserve"> that only one property inspection or site visit performed pursuant to </w:t>
      </w:r>
      <w:r>
        <w:rPr>
          <w:rFonts w:ascii="Times New Roman" w:hAnsi="Times New Roman"/>
          <w:sz w:val="20"/>
          <w:u w:val="single"/>
        </w:rPr>
        <w:t>Section 7.4</w:t>
      </w:r>
      <w:r>
        <w:rPr>
          <w:rFonts w:ascii="Times New Roman" w:hAnsi="Times New Roman"/>
          <w:sz w:val="20"/>
        </w:rPr>
        <w:t xml:space="preserve"> shall be paid for by the Borrower each year, unless a Potential Default or Event of Default has occurred and is continuing, in which case there shall be no limit to property inspections or site visits performed pursuant to </w:t>
      </w:r>
      <w:r>
        <w:rPr>
          <w:rFonts w:ascii="Times New Roman" w:hAnsi="Times New Roman"/>
          <w:sz w:val="20"/>
          <w:u w:val="single"/>
        </w:rPr>
        <w:t>Section 7.4</w:t>
      </w:r>
      <w:r>
        <w:rPr>
          <w:rFonts w:ascii="Times New Roman" w:hAnsi="Times New Roman"/>
          <w:sz w:val="20"/>
        </w:rPr>
        <w:t xml:space="preserve">, and the Borrower shall pay the costs associated with each such inspection and visit performed during such periods; </w:t>
      </w:r>
      <w:r>
        <w:rPr>
          <w:rFonts w:ascii="Times New Roman" w:hAnsi="Times New Roman"/>
          <w:sz w:val="20"/>
          <w:u w:val="single"/>
        </w:rPr>
        <w:t>provided</w:t>
      </w:r>
      <w:r>
        <w:rPr>
          <w:rFonts w:ascii="Times New Roman" w:hAnsi="Times New Roman"/>
          <w:sz w:val="20"/>
        </w:rPr>
        <w:t xml:space="preserve"> further that the Borrower shall only be responsible for fees and disbursements of one primary outside counsel (unless there is an actual or perceived conflict of interest, in which case another primary outside counsel shall be permitted for each group of similarly situated Persons) for the Administrative Agent, the Collateral Agent, each Issuing Lender, and the Lenders, taken as a whole, and, if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one special or local counsel (unless there is an actual or perceived conflict of interest, in which case another special or local counsel shall be permitted for each group of similarly situated Persons) for the Administrative Agent, Collateral Agent, each Issuing Lender and the Lenders, taken as a whole, in each relevant material jurisdiction (which may include a single special counsel acting in multiple jurisdictions). The obligations of the Borrower under this </w:t>
      </w:r>
      <w:r>
        <w:rPr>
          <w:rFonts w:ascii="Times New Roman" w:hAnsi="Times New Roman"/>
          <w:sz w:val="20"/>
          <w:u w:val="single"/>
        </w:rPr>
        <w:t>Section 7.6</w:t>
      </w:r>
      <w:r>
        <w:rPr>
          <w:rFonts w:ascii="Times New Roman" w:hAnsi="Times New Roman"/>
          <w:sz w:val="20"/>
        </w:rPr>
        <w:t xml:space="preserve"> shall survive payment of all other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Payment of Taxes and Charges</w:t>
      </w:r>
      <w:r>
        <w:rPr>
          <w:rFonts w:ascii="Times New Roman" w:hAnsi="Times New Roman"/>
          <w:sz w:val="20"/>
        </w:rPr>
        <w:t xml:space="preserve">. The Borrower Parties shall, and shall cause each of their respective Subsidiaries to, file all federal and other material tax returns required to be filed in any jurisdiction and, if applicable, with respect to such federal and other material tax returns, except with respect to Taxes subject to any Good Faith Contest, pay and discharge all Taxes imposed upon it or any of its Properties or in respect of any of its franchises, business, income or property before any material penalty shall be incurred with respect to such Taxes.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Insurance</w:t>
      </w:r>
      <w:r>
        <w:rPr>
          <w:rFonts w:ascii="Times New Roman" w:hAnsi="Times New Roman"/>
          <w:sz w:val="20"/>
        </w:rPr>
        <w:t xml:space="preserve">. The Borrower Parties shall, and shall cause each of their respective Subsidiaries to, maintain, to the extent commercially available, insurance with responsible and reputable insurance companies or associations in such amounts and covering such risks (including, without limitation, fire, extended coverage, vandalism, malicious mischief, flood, earthquake, public liability, product liability, business interruption and terrorism) as is usually carried by companies engaged in similar businesses and owning similar properties in the same general areas in which the Borrower Parties or their respective Subsidiaries engage in business or own properties. Unless otherwise agreed in writing by the Administrative Agent, insurance policies shall provide for ten (10) days prior written notice to the Administrative Agent of any cancelation for nonpayment of premiums. Subject to </w:t>
      </w:r>
      <w:r>
        <w:rPr>
          <w:rFonts w:ascii="Times New Roman" w:hAnsi="Times New Roman"/>
          <w:sz w:val="20"/>
          <w:u w:val="single"/>
        </w:rPr>
        <w:t>Section 7.17</w:t>
      </w:r>
      <w:r>
        <w:rPr>
          <w:rFonts w:ascii="Times New Roman" w:hAnsi="Times New Roman"/>
          <w:sz w:val="20"/>
        </w:rPr>
        <w:t xml:space="preserve"> with respect to insurance endorsements, the Administrative Agent and Collateral Agent, for the benefit of the Secured Parties, shall be named as lender’s loss payee on all insurance policies that the Borrower Parties maintain with respect to any Mortgaged Property and improvements on such Mortgaged Property and as additional insured on all liability insurance policies maintained by the Borrower Parties (except as otherwise agreed by the Administrative Agent with respect to certain liability insurance policies); provided that, unless a Potential Default or an Event of Default has occurred and is continuing, if Administrative Agent or Collateral Agent receives any such proceeds as loss payee, it shall promptly deliver the same to Borrower for Borrower’s use in connection with the operations or restoration of the subject Property. At all times, Borrower is entitled to receive and collect directly from the insurer any business interruption and rental loss insurance proceeds. Notwithstanding any provision in the Credit Agreement or the other Loan Documents to the contrary, solely in the case of the Mortgage by each of Macerich Stonewood, LLC, a Delaware limited liability company, and Macerich Stonewood Holdings, LLC, a Delaware limited liability company, with respect to the Real Property commonly referred to as “Stonewood Center (including Stonewood - Kohls)” (the “</w:t>
      </w:r>
      <w:r>
        <w:rPr>
          <w:rFonts w:ascii="Times New Roman" w:hAnsi="Times New Roman"/>
          <w:sz w:val="20"/>
          <w:u w:val="single"/>
        </w:rPr>
        <w:t>Stonewood Mortgage</w:t>
      </w:r>
      <w:r>
        <w:rPr>
          <w:rFonts w:ascii="Times New Roman" w:hAnsi="Times New Roman"/>
          <w:sz w:val="20"/>
        </w:rPr>
        <w:t xml:space="preserve">”), the holding, application and disbursement of any and all insurance policies and proceeds may, in lieu of compliance with the foregoing provisions of this Section 7.8, be effected in accordance with Section 3.7 of the Stonewood Mortgage.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Hazardous Materials</w:t>
      </w:r>
      <w:r>
        <w:rPr>
          <w:rFonts w:ascii="Times New Roman" w:hAnsi="Times New Roman"/>
          <w:sz w:val="20"/>
        </w:rPr>
        <w:t xml:space="preserve">. The Borrower Parties shall, and shall cause each of their respective Subsidiaries to, do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Keep and maintain all Retail/Other Properties in material compliance with any Hazardous Materials Laws unless the failure to so comply would not be reasonably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(2) Diligently remediate in accordance with and as required by applicable Hazardous Material Laws any Hazardous Materials discharged, disposed of, or otherwise released in, on or under any Retail/Other Properties that are in violation of any Hazardous Materials Laws and which would be reasonably expected to result in a Material Adverse Effect, and cause any remediation required by any Hazardous Material Laws or Governmental Authority to be performed, though no such action shall be required if any action is subject to a good faith contest. In the course of carrying out such actions, the Borrower shall provide the Administrative Agent with such periodic information and notices regarding the status of investigation, removal, and remediation, as the Administrative Agent may reasonably require. </w:t>
      </w:r>
    </w:p>
    <w:p>
      <w:pPr>
        <w:pStyle w:val="TextBody"/>
        <w:bidi w:val="0"/>
        <w:spacing w:before="240" w:after="0"/>
        <w:jc w:val="left"/>
        <w:rPr>
          <w:rFonts w:ascii="Times New Roman" w:hAnsi="Times New Roman"/>
          <w:sz w:val="20"/>
        </w:rPr>
      </w:pPr>
      <w:r>
        <w:rPr>
          <w:rFonts w:ascii="Times New Roman" w:hAnsi="Times New Roman"/>
          <w:sz w:val="20"/>
        </w:rPr>
        <w:t xml:space="preserve">(3) Promptly advise the Administrative Agent, each Issuing Lender and each Lender in writing of any of the following: (i) any Hazardous Material Claims known to the Borrower Parties which would be reasonably expected to result in a Property-Level Material Adverse Effect to any Real Property or a material adverse effect on the owner thereof; (ii) the receipt of any notice of any alleged violation of Hazardous Materials Laws with respect to any Real Property (and the Borrower shall promptly provide the Administrative Agent, the Issuing Lenders and the Lenders with a copy of such notice of violation), </w:t>
      </w:r>
      <w:r>
        <w:rPr>
          <w:rFonts w:ascii="Times New Roman" w:hAnsi="Times New Roman"/>
          <w:sz w:val="20"/>
          <w:u w:val="single"/>
        </w:rPr>
        <w:t>provided</w:t>
      </w:r>
      <w:r>
        <w:rPr>
          <w:rFonts w:ascii="Times New Roman" w:hAnsi="Times New Roman"/>
          <w:sz w:val="20"/>
        </w:rPr>
        <w:t xml:space="preserve"> that such alleged violation, if true (and if any release of the Hazardous Materials alleged therein were not promptly remediated), would result in a breach of </w:t>
      </w:r>
      <w:r>
        <w:rPr>
          <w:rFonts w:ascii="Times New Roman" w:hAnsi="Times New Roman"/>
          <w:sz w:val="20"/>
          <w:u w:val="single"/>
        </w:rPr>
        <w:t>subsections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above; and (iii) the discovery of any occurrence or condition on any Retail/Other Properties that could reasonably be expected to cause such Retail/Other Properties or any part thereof to be in violation of </w:t>
      </w:r>
      <w:r>
        <w:rPr>
          <w:rFonts w:ascii="Times New Roman" w:hAnsi="Times New Roman"/>
          <w:sz w:val="20"/>
          <w:u w:val="single"/>
        </w:rPr>
        <w:t>subsections (1)</w:t>
      </w:r>
      <w:r>
        <w:rPr>
          <w:rFonts w:ascii="Times New Roman" w:hAnsi="Times New Roman"/>
          <w:sz w:val="20"/>
        </w:rPr>
        <w:t xml:space="preserve"> or, if not promptly remediated, </w:t>
      </w:r>
      <w:r>
        <w:rPr>
          <w:rFonts w:ascii="Times New Roman" w:hAnsi="Times New Roman"/>
          <w:sz w:val="20"/>
          <w:u w:val="single"/>
        </w:rPr>
        <w:t>(2)</w:t>
      </w:r>
      <w:r>
        <w:rPr>
          <w:rFonts w:ascii="Times New Roman" w:hAnsi="Times New Roman"/>
          <w:sz w:val="20"/>
        </w:rPr>
        <w:t xml:space="preserve"> above. If the Administrative Agent, any Issuing Lender and/or any Lender shall be joined in any legal proceedings or actions initiated in connection with any Hazardous Materials Claims, each Borrower Party shall indemnify, defend, and hold harmless such Person with respect to any liabilities and out-of-pocket expenses arising with respect thereto, including reasonable attorneys’ fees and disbursements. </w:t>
      </w:r>
    </w:p>
    <w:p>
      <w:pPr>
        <w:pStyle w:val="TextBody"/>
        <w:bidi w:val="0"/>
        <w:spacing w:before="240" w:after="0"/>
        <w:jc w:val="left"/>
        <w:rPr>
          <w:rFonts w:ascii="Times New Roman" w:hAnsi="Times New Roman"/>
          <w:sz w:val="20"/>
        </w:rPr>
      </w:pPr>
      <w:r>
        <w:rPr>
          <w:rFonts w:ascii="Times New Roman" w:hAnsi="Times New Roman"/>
          <w:sz w:val="20"/>
        </w:rPr>
        <w:t xml:space="preserve">(4) Comply with each of the covenants set forth in </w:t>
      </w:r>
      <w:r>
        <w:rPr>
          <w:rFonts w:ascii="Times New Roman" w:hAnsi="Times New Roman"/>
          <w:sz w:val="20"/>
          <w:u w:val="single"/>
        </w:rPr>
        <w:t>subsections (1)</w:t>
      </w:r>
      <w:r>
        <w:rPr>
          <w:rFonts w:ascii="Times New Roman" w:hAnsi="Times New Roman"/>
          <w:sz w:val="20"/>
        </w:rPr>
        <w:t>,</w:t>
      </w:r>
      <w:r>
        <w:rPr>
          <w:rFonts w:ascii="Times New Roman" w:hAnsi="Times New Roman"/>
          <w:sz w:val="20"/>
          <w:u w:val="single"/>
        </w:rPr>
        <w:t xml:space="preserve"> (2)</w:t>
      </w:r>
      <w:r>
        <w:rPr>
          <w:rFonts w:ascii="Times New Roman" w:hAnsi="Times New Roman"/>
          <w:sz w:val="20"/>
        </w:rPr>
        <w:t xml:space="preserve"> and </w:t>
      </w:r>
      <w:r>
        <w:rPr>
          <w:rFonts w:ascii="Times New Roman" w:hAnsi="Times New Roman"/>
          <w:sz w:val="20"/>
          <w:u w:val="single"/>
        </w:rPr>
        <w:t>(3)</w:t>
      </w:r>
      <w:r>
        <w:rPr>
          <w:rFonts w:ascii="Times New Roman" w:hAnsi="Times New Roman"/>
          <w:sz w:val="20"/>
        </w:rPr>
        <w:t xml:space="preserve"> of this </w:t>
      </w:r>
      <w:r>
        <w:rPr>
          <w:rFonts w:ascii="Times New Roman" w:hAnsi="Times New Roman"/>
          <w:sz w:val="20"/>
          <w:u w:val="single"/>
        </w:rPr>
        <w:t>Section 7.9</w:t>
      </w:r>
      <w:r>
        <w:rPr>
          <w:rFonts w:ascii="Times New Roman" w:hAnsi="Times New Roman"/>
          <w:sz w:val="20"/>
        </w:rPr>
        <w:t xml:space="preserve"> with respect to all other Properties of the Borrower and its Subsidiaries unless the failure to so comply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Compliance with Laws and Contractual Obligations</w:t>
      </w:r>
      <w:r>
        <w:rPr>
          <w:rFonts w:ascii="Times New Roman" w:hAnsi="Times New Roman"/>
          <w:sz w:val="20"/>
        </w:rPr>
        <w:t xml:space="preserve">. The Borrower Parties: (1) shall, except where the failure to do so, individually or in the aggregate, could not reasonably be expected to result in a Material Adverse Effect, comply, in all respects, with all Requirements of Law of any Governmental Authority having jurisdiction over it or its business, and (2) shall, except to the extent that the failure of the same either (x) would not have a Material Adverse Effect or (y) in the case of Contractual Obligations in respect of Indebtedness for borrowed money only, would not result in an Event of Default under either Section 9.5 or Section 9.9, comply, in all respects, with all Contractual Obligations. The Borrower Parties shall, except to the extent that the failure of the same either (x) would not have a Material Adverse Effect or (y) in the case of Contractual Obligations in respect of Indebtedness for borrowed money only (and only for purposes of clause (2) below), would not result in an Event of Default under either Section 9.5 or Section 9.9, cause each of their respective Subsidiaries (other than the Subsidiary Guarantors) to: (1) comply, in all respects, with all Requirements of Law of any Governmental Authority having jurisdiction over it or its business, and (2) comply, in all respects, with all Contractual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REIT Status</w:t>
      </w:r>
      <w:r>
        <w:rPr>
          <w:rFonts w:ascii="Times New Roman" w:hAnsi="Times New Roman"/>
          <w:sz w:val="20"/>
        </w:rPr>
        <w:t xml:space="preserve">. MAC shall maintain its status as a REIT and (i) all of the representations and warranties set forth in </w:t>
      </w:r>
      <w:r>
        <w:rPr>
          <w:rFonts w:ascii="Times New Roman" w:hAnsi="Times New Roman"/>
          <w:sz w:val="20"/>
          <w:u w:val="single"/>
        </w:rPr>
        <w:t>subsections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of </w:t>
      </w:r>
      <w:r>
        <w:rPr>
          <w:rFonts w:ascii="Times New Roman" w:hAnsi="Times New Roman"/>
          <w:sz w:val="20"/>
          <w:u w:val="single"/>
        </w:rPr>
        <w:t>Section 6.18</w:t>
      </w:r>
      <w:r>
        <w:rPr>
          <w:rFonts w:ascii="Times New Roman" w:hAnsi="Times New Roman"/>
          <w:sz w:val="20"/>
        </w:rPr>
        <w:t xml:space="preserve"> shall remain true and correct at all times and (ii) all of the representations and warranties set forth in </w:t>
      </w:r>
      <w:r>
        <w:rPr>
          <w:rFonts w:ascii="Times New Roman" w:hAnsi="Times New Roman"/>
          <w:sz w:val="20"/>
          <w:u w:val="single"/>
        </w:rPr>
        <w:t>subsection (3)</w:t>
      </w:r>
      <w:r>
        <w:rPr>
          <w:rFonts w:ascii="Times New Roman" w:hAnsi="Times New Roman"/>
          <w:sz w:val="20"/>
        </w:rPr>
        <w:t xml:space="preserve"> of </w:t>
      </w:r>
      <w:r>
        <w:rPr>
          <w:rFonts w:ascii="Times New Roman" w:hAnsi="Times New Roman"/>
          <w:sz w:val="20"/>
          <w:u w:val="single"/>
        </w:rPr>
        <w:t>Section 6.18</w:t>
      </w:r>
      <w:r>
        <w:rPr>
          <w:rFonts w:ascii="Times New Roman" w:hAnsi="Times New Roman"/>
          <w:sz w:val="20"/>
        </w:rPr>
        <w:t xml:space="preserve"> shall remain true and correct in all material respects. MAC will do or cause to be done all things necessary to maintain the listing of its Capital Stock on the New York Stock Exchange, NYSE American or Nasdaq Stock Market (or any successor thereof), and the Borrower will do or cause to be done all things necessary to cause it to be treated as a partnership for purposes of federal income taxation and the tax laws of any state or locality in which the Borrower is subject to taxation based on its income.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Use of Proceeds</w:t>
      </w:r>
      <w:r>
        <w:rPr>
          <w:rFonts w:ascii="Times New Roman" w:hAnsi="Times New Roman"/>
          <w:sz w:val="20"/>
        </w:rPr>
        <w:t xml:space="preserve">. The Letters of Credit and the proceeds of the Loans will be used for the Closing Date Payments and for other general corporate purposes, including the financing of working capital needs, in each case, in a manner that would not result in the representation and warranty set forth in the second sentence of </w:t>
      </w:r>
      <w:r>
        <w:rPr>
          <w:rFonts w:ascii="Times New Roman" w:hAnsi="Times New Roman"/>
          <w:sz w:val="20"/>
          <w:u w:val="single"/>
        </w:rPr>
        <w:t>Section 6.27</w:t>
      </w:r>
      <w:r>
        <w:rPr>
          <w:rFonts w:ascii="Times New Roman" w:hAnsi="Times New Roman"/>
          <w:sz w:val="20"/>
        </w:rPr>
        <w:t xml:space="preserve"> to cease to be true and correct in any respect.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Management of Projects; Management Agreements</w:t>
      </w:r>
      <w:r>
        <w:rPr>
          <w:rFonts w:ascii="Times New Roman" w:hAnsi="Times New Roman"/>
          <w:sz w:val="20"/>
        </w:rPr>
        <w:t xml:space="preserve">. Except as set forth on </w:t>
      </w:r>
      <w:r>
        <w:rPr>
          <w:rFonts w:ascii="Times New Roman" w:hAnsi="Times New Roman"/>
          <w:sz w:val="20"/>
          <w:u w:val="single"/>
        </w:rPr>
        <w:t>Schedule 7.13</w:t>
      </w:r>
      <w:r>
        <w:rPr>
          <w:rFonts w:ascii="Times New Roman" w:hAnsi="Times New Roman"/>
          <w:sz w:val="20"/>
        </w:rPr>
        <w:t xml:space="preserve">, all Wholly-Owned Projects shall be managed by Subsidiaries of MAC pursuant to agreements that are either (x) substantially similar to the Master Management Agreements or (y) on terms no less favorable in totality to the Borrower Parties than would be obtained in a comparable arm’s-length transaction with a third party manager that is not a Macerich Entity. The Borrower Parties shall at all times ensure that each Affiliate of any Borrower Party that manages and/or operates a Borrowing Base Mortgaged Property Asset has executed and delivered to the Administrative Agent an Assignment and Subordination of Property Management Agreement. From time to time, the Borrower may replace the subject property manager with another manager that is a Macerich Entity, and/or amend and replace the subject management agreement (so long as the same is no less favorable in totality to the Borrower Parties than would be obtained in a comparable arm’s-length transaction with a third party manager that is not a Macerich Entity), provided the applicable Borrower Party and the applicable manager amend the existing Assignment and Subordination of Property Management Agreement to reflect such new property manager and the applicable property management agreement or enter into a new Assignment and Subordination of Property Management Agreement. Notwithstanding the foregoing, in no event shall the management fees (not including expense recoveries, leasing commissions and/or construction supervisory fees) payable to any Macerich Entity under any property management agreement for Wholly-Owned Projects exceed 3.0% of gross revenues (less customary exclusions from such capped amount such as leasing commission and construction supervision fees) from the applicable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Borrowing Base Additions</w:t>
      </w:r>
      <w:r>
        <w:rPr>
          <w:rFonts w:ascii="Times New Roman" w:hAnsi="Times New Roman"/>
          <w:sz w:val="20"/>
        </w:rPr>
        <w:t>. Borrower may, from time to time, propose to add Real Property or Capital Stock as a Borrowing Base Asset, provided such Real Property or Capital Stock satisfies the Borrowing Base Criteria at the time such Real Property or Capital Stock would become a Borrowing Base Asset (a “</w:t>
      </w:r>
      <w:r>
        <w:rPr>
          <w:rFonts w:ascii="Times New Roman" w:hAnsi="Times New Roman"/>
          <w:sz w:val="20"/>
          <w:u w:val="single"/>
        </w:rPr>
        <w:t>Proposed Borrowing Base Asset</w:t>
      </w:r>
      <w:r>
        <w:rPr>
          <w:rFonts w:ascii="Times New Roman" w:hAnsi="Times New Roman"/>
          <w:sz w:val="20"/>
        </w:rPr>
        <w:t>”). Borrower’s proposal to the Administrative Agent shall be in writing and include a Borrowing Base Asset Proposal Package with respect to such Proposed Borrowing Base Asset. Within ten (10) Business Days after receipt of a complete Borrowing Base Asset Proposal Package, the Administrative Agent shall give notice to the Borrower of its determination of whether such Proposed Borrowing Base Asset will, subject to the delivery of all applicable Borrowing Base Deliverables pursuant to the following sentence, satisfy the applicable Borrowing Base Criteria (any such notice comprising an approval, a “</w:t>
      </w:r>
      <w:r>
        <w:rPr>
          <w:rFonts w:ascii="Times New Roman" w:hAnsi="Times New Roman"/>
          <w:sz w:val="20"/>
          <w:u w:val="single"/>
        </w:rPr>
        <w:t>Conditional Approval Notice</w:t>
      </w:r>
      <w:r>
        <w:rPr>
          <w:rFonts w:ascii="Times New Roman" w:hAnsi="Times New Roman"/>
          <w:sz w:val="20"/>
        </w:rPr>
        <w:t xml:space="preserve">”); provided that (i) if the Administrative Agent does not respond to the Borrower within ten (10) Business Days after receipt of a written proposal with a complete Borrowing Base Asset Proposal Package, the Borrower may deliver a second written notice to the Administrative Agent with respect to such Proposed Borrowing Base Asset, and the Administrative Agent shall, within five (5) Business Days after receipt of such second written notice, give notice to the Borrower of its determination of whether such Proposed Borrowing Base Asset will, subject to the delivery of all applicable Borrowing Base Deliverables pursuant to the following sentence, satisfy the applicable Borrowing Base Criteria and (ii) if the Administrative Agent does not respond to the Borrower within five (5) Business Days after receipt of such second written notice with respect to such Proposed Borrowing Base Asset, a Conditional Approval Notice shall be deemed to have been issued by the Administrative Agent with respect to such Proposed Borrowing Base Asset on the sixth (6th) Business Day after the Administrative Agent’s receipt of such second written notice. Within forty five (45) days after receipt by the Borrower of a Conditional Approval Notice (which period may be extended in the discretion of the Administrative Agent), the Borrower shall, at its sole cost and expense, as a condition to such Proposed Borrowing Base Asset becoming a Borrowing Base Asset, deliver (or cause to be delivered) to the Administrative Agent and the Collateral Agent (i) all applicable Borrowing Base Deliverables and (ii) if such Proposed Borrowing Base Asset is a proposed Borrowing Base Mortgaged Property Asset that is managed or operated by an Affiliate of any Borrower Party, an Assignment and Subordination of Property Management Agreement executed by each Borrower Party that owns such Proposed Borrowing Base Asset and each Affiliate of a Borrower Party that manages and/or operates the applicable Proposed Borrowing Base Asset. The Borrower’s failure to deliver the same within said forty-five (45) day period shall not constitute a Potential Default or Event of Default by the Borrower; rather, until the same are delivered, such Proposed Borrowing Base Asset shall not constitute a Borrowing Base Asset. Notwithstanding the foregoing, the failure of any Proposed Borrowing Base Asset to comply with one or more of the Borrowing Base Criteria shall not preclude the addition of such Proposed Borrowing Base Asset as a Borrowing Base Asset so long as the Administrative Agent and the Required Lenders shall have expressly consented in writing to the addition of such Proposed Borrowing Base Asset as a Borrowing Base Asset notwithstanding the failure to satisfy such conditions. </w:t>
      </w:r>
    </w:p>
    <w:p>
      <w:pPr>
        <w:pStyle w:val="TextBody"/>
        <w:bidi w:val="0"/>
        <w:spacing w:before="240" w:after="0"/>
        <w:jc w:val="left"/>
        <w:rPr>
          <w:rFonts w:ascii="Times New Roman" w:hAnsi="Times New Roman"/>
          <w:sz w:val="20"/>
        </w:rPr>
      </w:pPr>
      <w:r>
        <w:rPr>
          <w:rFonts w:ascii="Times New Roman" w:hAnsi="Times New Roman"/>
          <w:sz w:val="20"/>
        </w:rPr>
        <w:t xml:space="preserve">7.15. </w:t>
      </w:r>
      <w:r>
        <w:rPr>
          <w:rFonts w:ascii="Times New Roman" w:hAnsi="Times New Roman"/>
          <w:sz w:val="20"/>
          <w:u w:val="single"/>
        </w:rPr>
        <w:t>Borrowing Base Leases</w:t>
      </w:r>
      <w:r>
        <w:rPr>
          <w:rFonts w:ascii="Times New Roman" w:hAnsi="Times New Roman"/>
          <w:sz w:val="20"/>
        </w:rPr>
        <w:t xml:space="preserve">. All Borrowing Base Leases (and all renewals thereof) executed after the Closing Date shall provide for rental rates obtained through arm’s-length negotiations, shall be on commercially reasonable terms, and shall not contain any terms which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7.16. </w:t>
      </w:r>
      <w:r>
        <w:rPr>
          <w:rFonts w:ascii="Times New Roman" w:hAnsi="Times New Roman"/>
          <w:sz w:val="20"/>
          <w:u w:val="single"/>
        </w:rPr>
        <w:t>Specified Ground Leases</w:t>
      </w:r>
      <w:r>
        <w:rPr>
          <w:rFonts w:ascii="Times New Roman" w:hAnsi="Times New Roman"/>
          <w:sz w:val="20"/>
        </w:rPr>
        <w:t xml:space="preserve">. With respect to any Specified Ground Lease of any applicable Borrower Party: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Performance; Modifications</w:t>
      </w:r>
      <w:r>
        <w:rPr>
          <w:rFonts w:ascii="Times New Roman" w:hAnsi="Times New Roman"/>
          <w:sz w:val="20"/>
        </w:rPr>
        <w:t xml:space="preserve">. Each applicable Borrower Party shall: </w:t>
      </w:r>
    </w:p>
    <w:p>
      <w:pPr>
        <w:pStyle w:val="TextBody"/>
        <w:bidi w:val="0"/>
        <w:spacing w:before="120" w:after="0"/>
        <w:jc w:val="left"/>
        <w:rPr>
          <w:rFonts w:ascii="Times New Roman" w:hAnsi="Times New Roman"/>
          <w:sz w:val="20"/>
        </w:rPr>
      </w:pPr>
      <w:r>
        <w:rPr>
          <w:rFonts w:ascii="Times New Roman" w:hAnsi="Times New Roman"/>
          <w:sz w:val="20"/>
        </w:rPr>
        <w:t xml:space="preserve">(A) Pay all rents, additional rents and other sums required to be paid by the applicable Borrower Party, as tenant under and pursuant to the provisions of the Specified Ground Lease as and when such rent or other sums are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Promptly and faithfully observe, perform and comply with all the material terms, covenants and provisions of the Specified Ground Leases on the part of an applicable Borrower Party to be observed, performed and complied with, at the times set forth therein and to do all things necessary to preserve unimpaired its rights thereunder, except where the failure to do so, individually or in the aggregate, could not reasonably be expected to result in a Property-Level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Not do, permit, suffer or refrain from doing anything, the result of which could be a material default under any of the terms thereof beyond the giving of any required notice and the expiration of any applicable cure period or a breach of any of the terms thereof (it being agreed that any default that would permit any party thereto other than the applicable Borrower Party to terminate the applicable Specified Ground Lease shall be deemed to be material); </w:t>
      </w:r>
    </w:p>
    <w:p>
      <w:pPr>
        <w:pStyle w:val="TextBody"/>
        <w:bidi w:val="0"/>
        <w:spacing w:before="240" w:after="0"/>
        <w:jc w:val="left"/>
        <w:rPr>
          <w:rFonts w:ascii="Times New Roman" w:hAnsi="Times New Roman"/>
          <w:sz w:val="20"/>
        </w:rPr>
      </w:pPr>
      <w:r>
        <w:rPr>
          <w:rFonts w:ascii="Times New Roman" w:hAnsi="Times New Roman"/>
          <w:sz w:val="20"/>
        </w:rPr>
        <w:t xml:space="preserve">(D) Unless the Administrative Agent has consented thereto in writing, not voluntarily cancel, surrender, or modify any of the material terms thereof, release any party thereto (other than the applicable Borrower Party) from any material obligation imposed upon it thereby or surrender, terminate or cancel such Specified Ground Lease; and </w:t>
      </w:r>
    </w:p>
    <w:p>
      <w:pPr>
        <w:pStyle w:val="TextBody"/>
        <w:bidi w:val="0"/>
        <w:spacing w:before="240" w:after="0"/>
        <w:jc w:val="left"/>
        <w:rPr>
          <w:rFonts w:ascii="Times New Roman" w:hAnsi="Times New Roman"/>
          <w:sz w:val="20"/>
        </w:rPr>
      </w:pPr>
      <w:r>
        <w:rPr>
          <w:rFonts w:ascii="Times New Roman" w:hAnsi="Times New Roman"/>
          <w:sz w:val="20"/>
        </w:rPr>
        <w:t xml:space="preserve">(E) Give Administrative Agent prompt written notice of any material default by anyone thereunder of which the applicable Borrower Party becomes aware and promptly deliver to Administrative Agent copies of each notice of material default.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or Cancellation</w:t>
      </w:r>
      <w:r>
        <w:rPr>
          <w:rFonts w:ascii="Times New Roman" w:hAnsi="Times New Roman"/>
          <w:sz w:val="20"/>
        </w:rPr>
        <w:t xml:space="preserve">; </w:t>
      </w:r>
      <w:r>
        <w:rPr>
          <w:rFonts w:ascii="Times New Roman" w:hAnsi="Times New Roman"/>
          <w:sz w:val="20"/>
          <w:u w:val="single"/>
        </w:rPr>
        <w:t>Administrative Agent’s Right to Cure</w:t>
      </w:r>
      <w:r>
        <w:rPr>
          <w:rFonts w:ascii="Times New Roman" w:hAnsi="Times New Roman"/>
          <w:sz w:val="20"/>
        </w:rPr>
        <w:t xml:space="preserve">. The applicable Borrower Party hereby assigns to the Collateral Agent, as further security for the payment and performance of the Secured Obligations, its right as tenant under the Specified Ground Lease, to surrender the leasehold estate created by the Specified Ground Lease or to terminate, cancel, or modify the Specified Ground Lease in a manner in violation of </w:t>
      </w:r>
      <w:r>
        <w:rPr>
          <w:rFonts w:ascii="Times New Roman" w:hAnsi="Times New Roman"/>
          <w:sz w:val="20"/>
          <w:u w:val="single"/>
        </w:rPr>
        <w:t>Section 7.16(1)(D)</w:t>
      </w:r>
      <w:r>
        <w:rPr>
          <w:rFonts w:ascii="Times New Roman" w:hAnsi="Times New Roman"/>
          <w:sz w:val="20"/>
        </w:rPr>
        <w:t xml:space="preserve">, and any such action without the prior written consent of Administrative Agent shall be void and of no force and effect. If the applicable Borrower Party shall default in the performance or observance of any material term, covenant or condition of such Specified Ground Lease on the part of the applicable Borrower Party, as tenant thereunder, to be performed or observed where the failure to do so, individually or in the aggregate, could reasonably be expected to result in a Property-Level Material Adverse Effect, then, without limiting the generality of the other provisions of the Mortgage and this Agreement and without waiving or releasing the applicable Borrower Party from any of its obligations hereunder, Administrative Agent shall have the right, but shall be under no obligation, to pay any sums and to perform any act or take any action as may be appropriate to cause all of the material terms, covenants and conditions of the Specified Ground Lease on the part of the applicable Borrower Party, as tenant thereunder, to be performed or observed or to be promptly performed or observed on behalf of the applicable Borrower Party, to the end that the rights of the applicable Borrower Party in, to and under such Specified Ground Lease shall be kept unimpaired as a result thereof and free from default, even though the existence of such event of default or the nature thereof may be questioned or denied by the applicable Borrower Party or by any party on behalf of the applicable Borrower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 by Administrative Agent</w:t>
      </w:r>
      <w:r>
        <w:rPr>
          <w:rFonts w:ascii="Times New Roman" w:hAnsi="Times New Roman"/>
          <w:sz w:val="20"/>
        </w:rPr>
        <w:t xml:space="preserve">. If the Administrative Agent shall make any payment or perform any act or take action in accordance with the preceding section, the Administrative Agent will promptly notify the applicable Borrower Party of the making of any such payment, the performance of any such act, or the taking of any such action. In any such event, subject to the rights of tenants, subtenants and other occupants under the leases or of parties to any reciprocal easement agreements, the Administrative Agent and any Person designated as the Administrative Agent’s agent by the Administrative Agent shall have, and are hereby granted, the right to peaceably enter upon the Mortgaged Property at any reasonable time, on reasonable notice for the purpose of taking any such action. The Administrative Agent may pay and expend such sums of money as the Administrative Agent deems necessary for any such purpose and upon so doing shall be subrogated to any and all rights of the landlord under the Specified Ground Lease. The Borrower hereby agrees to pay to the Administrative Agent within five (5) Business Days after demand, all such sums so paid and expended by the Administrative Agent, together with interest thereon from the day of such payment at an interest rate that is 2% per annum in excess of the interest rate that is otherwise payable hereunder for Revolving Loans that are Base Rate Loans. All sums so paid and expended by the Administrative Agent and the interest thereon shall be secured by the legal operation and effect of the Mortgage and the other Security Documents. If the ground lessor under the Specified Ground Lease shall deliver to the Administrative Agent a copy of any notice of default sent by said ground lessor to the applicable Borrower Party, as tenant under the Specified Ground Lease, such notice shall constitute full protection to the Administrative Agent for any action taken or omitted to be taken by the Administrative Agent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of Extensions</w:t>
      </w:r>
      <w:r>
        <w:rPr>
          <w:rFonts w:ascii="Times New Roman" w:hAnsi="Times New Roman"/>
          <w:sz w:val="20"/>
        </w:rPr>
        <w:t xml:space="preserve">. The applicable Borrower Party shall exercise each individual option, if any, to extend or renew the term of the Specified Ground Lease upon demand by the Administrative Agent made at any time within one (1) year of the last day upon which any such option may be exercised, and if the applicable Borrower Party shall fail to do so, the applicable Borrower Party hereby expressly authorizes and appoints the Administrative Agent its attorney-in-fact to exercise any such option in the name of and upon behalf of the applicable Borrower Party, which power of attorney shall be irrevocable and shall be deemed to be coupled with an interest. The applicable Borrower Party shall not subordinate or consent to the subordination of the Specified Ground Lease to any mortgage, security deed, lease or other interest on or in the landlord’s interest in all or any part of the Property, unless, in each such case, the written consent of the Administrative Agent shall have been first had and obtained, which approval shall not unreasonably be withheld.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Merger of Fee and Leasehold Estates; Releases</w:t>
      </w:r>
      <w:r>
        <w:rPr>
          <w:rFonts w:ascii="Times New Roman" w:hAnsi="Times New Roman"/>
          <w:sz w:val="20"/>
        </w:rPr>
        <w:t xml:space="preserve">. Prior to Payment in Full, unless the Administrative Agent shall otherwise consent, the fee title to that portion of the Mortgaged Property subject to the Specified Ground Lease and the leasehold estate therein created pursuant to the provisions of the Specified Ground Lease shall not merge but shall always be kept separate and distinct, notwithstanding the union of such estates in the applicable Borrower Party, the Administrative Agent, or in any other person by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 of law or otherwise. The Collateral Agent reserves the right, at any time, to release portions of the Mortgaged Property, including, but not limited to, the leasehold estate created by the Specified Ground Lease, with or without consideration, at the Collateral Agent’s election, without waiving or affecting any of its or the Administrative Agent’s rights hereunder or under the other Loan Documents, and any such release shall not affect the Collateral Agent’s rights in connection with the portion of the Mortgaged Property not so released.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Acquisition of Fee Estate</w:t>
      </w:r>
      <w:r>
        <w:rPr>
          <w:rFonts w:ascii="Times New Roman" w:hAnsi="Times New Roman"/>
          <w:sz w:val="20"/>
        </w:rPr>
        <w:t xml:space="preserve">. In the event that the applicable Borrower Party, prior to Payment in Full, shall become the owner and holder of the fee title to that portion of the Mortgaged Property subject to the Specified Ground Lease, the Lien of the Mortgage shall be spread to cover the applicable Borrower Party’s fee title to such portion of the Mortgaged Property and said fee title shall be deemed to be included in the Mortgaged Property and no consent of the Administrative Agent is required for the applicable Borrower Party to acquire fee title to that portion of the Mortgaged Property subject to the Specified Ground Lease. The applicable Borrower Party agrees, at its sole cost and expense, including without limitation the Administrative Agent’s and Collateral Agent’s reasonable attorneys’ fees, to execute any and all documents or instruments necessary to subject its fee title to such portion of the Mortgaged Property to the lien of the Mortgage. Notwithstanding the foregoing, if the Specified Ground Lease is for any reason whatsoever terminated prior to the natural expiration of its term, and if, pursuant to any provisions of the Specified Ground Lease or otherwise, the Administrative Agent, the Collateral Agent or their respective designees shall acquire from the landlord thereunder another lease of the Mortgaged Property, the applicable Borrower Party shall have no right, title or interest in or to such other lease or the leasehold estate created thereby so long as any Obligations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Rejection of the Specified Ground 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the rejection or disaffirmance of the Specified Ground Lease by the landlord thereunder pursuant to the Bankruptcy Code or any other law affecting creditor’s rights, (i) the applicable Borrower Party, promptly after obtaining notice thereof, shall give notice thereof to the Administrative Agent, (ii) the applicable Borrower Party, without the prior written consent of the Administrative Agent, shall not elect to treat the Specified Ground Lease as terminated pursuant to Section 365(h) of the Bankruptcy Code or any comparable federal or state statute or law, and any election by the applicable Borrower Party made without such consent shall be void and (iii) the Mortgage and all the Liens, terms, covenants and conditions of the Mortgage shall extend to and cover the applicable Borrower Party’s possessory rights under Section 365(h) of the Bankruptcy Code and to any claim for damages due to the rejection of the Specified Ground Lease or other termination of the Specified Ground Lease. In addition, the applicable Borrower Party hereby assigns irrevocably to the Administrative Agent, the applicable Borrower Party’s rights to treat the Specified Ground Lease as terminated pursuant to Section 365(h) of the Bankruptcy Code and to offset rents under the Specified Ground Lease in the event any case, proceeding or other action is commenced by or against the landlord under the Bankruptcy Code or any comparable federal or state statute or law, provided that the Administrative Agent shall not exercise such rights and shall permit the applicable Borrower Party to exercise such rights with the prior written consent of the Administrative Agent, not to be unreasonably withheld, conditioned or delayed, unless an Event of Default shall have occurred and be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applicable Borrower Party hereby assigns to the Administrative Agent the applicable Borrower Party’s right to seek an extension of the sixty (60) day period within which the applicable Borrower Party must accept or reject the Specified Ground Lease under Section 365 of the Bankruptcy Code or any comparable federal or state statute or law with respect to any case, proceeding or other action commenced by or against the applicable Borrower Party under the Bankruptcy Code or comparable federal or state statute or law, provided the Administrative Agent shall not exercise such right, and shall permit the applicable Borrower Party to exercise such right with the prior written consent of Administrative Agent, not to be unreasonably withheld, unless an Event of Default shall have occurred and be continuing. Further, if the applicable Borrower Party shall desire to so reject the Specified Ground Lease, at the Administrative Agent’s request, to the extent not prohibited by the terms of the Specified Ground Lease and applicable law, the applicable Borrower Party shall assign its interest in the Specified Ground Lease to the Administrative Agent or its designee in lieu of rejecting such Specified Ground Lease as described above, upon receipt by the applicable Borrower Party of written notice from the Administrative Agent of such request. </w:t>
      </w:r>
    </w:p>
    <w:p>
      <w:pPr>
        <w:pStyle w:val="TextBody"/>
        <w:bidi w:val="0"/>
        <w:spacing w:before="240" w:after="0"/>
        <w:jc w:val="left"/>
        <w:rPr>
          <w:rFonts w:ascii="Times New Roman" w:hAnsi="Times New Roman"/>
          <w:sz w:val="20"/>
        </w:rPr>
      </w:pPr>
      <w:r>
        <w:rPr>
          <w:rFonts w:ascii="Times New Roman" w:hAnsi="Times New Roman"/>
          <w:sz w:val="20"/>
        </w:rPr>
        <w:t xml:space="preserve">(C) The applicable Borrower Party hereby agrees that if the Specified Ground Lease is terminated for any reason in the event of the rejection or disaffirmance of the Specified Ground Lease pursuant to the Bankruptcy Code or any other law affecting creditor’s rights, any property of the applicable Borrower Party not removed from the Mortgaged Property by the applicable Borrower Party as permitted or required by the Specified Ground Lease, shall at the option of the Administrative Agent be deemed abandoned by the applicable Borrower Party, provided that the Administrative Agent, the Collateral Agent or their respective designees may remove any such property required to be removed by the applicable Borrower Party pursuant to the Specified Ground Lease and all reasonable out-of-pocket costs and expenses associated with such removal shall be paid by the applicable Borrower Party within five (5) Business Days of receipt by the applicable Borrower Party of an invoice for such removal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Failure to Comply with Section 7.16</w:t>
      </w:r>
      <w:r>
        <w:rPr>
          <w:rFonts w:ascii="Times New Roman" w:hAnsi="Times New Roman"/>
          <w:sz w:val="20"/>
        </w:rPr>
        <w:t xml:space="preserve">. A Borrower Party’s failure to comply with this Section 7.16 with respect to any Borrowing Base Mortgaged Property Asset shall not constitute a Potential Default or Event of Default. Rather, such Borrowing Base Mortgaged Property Asset shall (i) no longer qualify as a Borrowing Base Mortgaged Property Asset and shall automatically cease to be a Borrowing Base Mortgaged Property Asset (and cease to be included in the Borrowing Base Amount as a Borrowing Base Mortgaged Property Asset) on the date on which an Event of Default would have resulted under this Agreement in the absence of this </w:t>
      </w:r>
      <w:r>
        <w:rPr>
          <w:rFonts w:ascii="Times New Roman" w:hAnsi="Times New Roman"/>
          <w:sz w:val="20"/>
          <w:u w:val="single"/>
        </w:rPr>
        <w:t>Section 7.16(8)</w:t>
      </w:r>
      <w:r>
        <w:rPr>
          <w:rFonts w:ascii="Times New Roman" w:hAnsi="Times New Roman"/>
          <w:sz w:val="20"/>
        </w:rPr>
        <w:t xml:space="preserve"> and (ii) thereafter continue to constitute Collateral (together with the related pledges of Capital Stock of the applicable Property Owner) until released in accordance with and subject to the requirements of </w:t>
      </w:r>
      <w:r>
        <w:rPr>
          <w:rFonts w:ascii="Times New Roman" w:hAnsi="Times New Roman"/>
          <w:sz w:val="20"/>
          <w:u w:val="single"/>
        </w:rPr>
        <w:t>Section 10.12</w:t>
      </w:r>
      <w:r>
        <w:rPr>
          <w:rFonts w:ascii="Times New Roman" w:hAnsi="Times New Roman"/>
          <w:sz w:val="20"/>
        </w:rPr>
        <w:t xml:space="preserve">. Notwithstanding the foregoing, the applicable Property may later be added as a Borrowing Base Asset in accordance with </w:t>
      </w:r>
      <w:r>
        <w:rPr>
          <w:rFonts w:ascii="Times New Roman" w:hAnsi="Times New Roman"/>
          <w:sz w:val="20"/>
          <w:u w:val="single"/>
        </w:rPr>
        <w:t>Section 7.14</w:t>
      </w:r>
      <w:r>
        <w:rPr>
          <w:rFonts w:ascii="Times New Roman" w:hAnsi="Times New Roman"/>
          <w:sz w:val="20"/>
        </w:rPr>
        <w:t xml:space="preserve"> if such Property (i) satisfies all applicable Borrowing Base Criteria and (ii) in the case of a Borrowing Base Mortgaged Property Asset, satisfies the requirements set forth above in this </w:t>
      </w:r>
      <w:r>
        <w:rPr>
          <w:rFonts w:ascii="Times New Roman" w:hAnsi="Times New Roman"/>
          <w:sz w:val="20"/>
          <w:u w:val="single"/>
        </w:rPr>
        <w:t>Section 7.16</w:t>
      </w:r>
      <w:r>
        <w:rPr>
          <w:rFonts w:ascii="Times New Roman" w:hAnsi="Times New Roman"/>
          <w:sz w:val="20"/>
        </w:rPr>
        <w:t xml:space="preserve">, in the case of each of the foregoing clauses (i) and (ii), on the date such Property becomes a Borrowing Base Mortgaged Property Asset again.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7.17. </w:t>
      </w:r>
      <w:r>
        <w:rPr>
          <w:rFonts w:ascii="Times New Roman" w:hAnsi="Times New Roman"/>
          <w:sz w:val="20"/>
          <w:u w:val="single"/>
        </w:rPr>
        <w:t>Post-Closing Matters</w:t>
      </w:r>
      <w:r>
        <w:rPr>
          <w:rFonts w:ascii="Times New Roman" w:hAnsi="Times New Roman"/>
          <w:sz w:val="20"/>
        </w:rPr>
        <w:t xml:space="preserve">. The Borrower Parties shall satisfy the requirements set forth on </w:t>
      </w:r>
      <w:r>
        <w:rPr>
          <w:rFonts w:ascii="Times New Roman" w:hAnsi="Times New Roman"/>
          <w:sz w:val="20"/>
          <w:u w:val="single"/>
        </w:rPr>
        <w:t>Schedule 7.17</w:t>
      </w:r>
      <w:r>
        <w:rPr>
          <w:rFonts w:ascii="Times New Roman" w:hAnsi="Times New Roman"/>
          <w:sz w:val="20"/>
        </w:rPr>
        <w:t xml:space="preserve"> on or before the date specified for such requirement or such later date as agreed to by the Administrative Agent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7.18. </w:t>
      </w:r>
      <w:r>
        <w:rPr>
          <w:rFonts w:ascii="Times New Roman" w:hAnsi="Times New Roman"/>
          <w:sz w:val="20"/>
          <w:u w:val="single"/>
        </w:rPr>
        <w:t>Additional Guarantors, Collateral,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In the event that any Proposed Borrowing Base Asset is added as a Borrowing Base Asset in accordance with </w:t>
      </w:r>
      <w:r>
        <w:rPr>
          <w:rFonts w:ascii="Times New Roman" w:hAnsi="Times New Roman"/>
          <w:sz w:val="20"/>
          <w:u w:val="single"/>
        </w:rPr>
        <w:t>Section 7.14</w:t>
      </w:r>
      <w:r>
        <w:rPr>
          <w:rFonts w:ascii="Times New Roman" w:hAnsi="Times New Roman"/>
          <w:sz w:val="20"/>
        </w:rPr>
        <w:t xml:space="preserve"> or if the direct or indirect ownership of a Borrowing Base Asset is transferred among Macerich Entities, the Borrower Parties shall, in each case substantially concurrently with or prior to such addition or transfer, (i) (A) in the case of a Borrowing Base Mortgaged Property Asset, cause each of (I) the Property Owner and (II) the Property Owner Parent, in each case, if not MAC, the Borrower, or already a Subsidiary Guarantor, to become a Subsidiary Guarantor under the Subsidiary Guaranty and a party to this Agreement and to the Environmental Indemnity Agreement by executing and delivering to the Administrative Agent a joinder agreement in the form attached to the Subsidiary Guaranty, (B) in the case of a Borrowing Base Equity Interest Asset, cause the Borrowing Base Equity Interest Asset Owner of such Proposed Borrowing Base Asset, if not the Borrower, MAC, or already a Subsidiary Guarantor, to become a Subsidiary Guarantor under the Subsidiary Guaranty and a party to this Agreement and to the Environmental Indemnity Agreement by executing and delivering to the Administrative Agent a joinder agreement in the form attached to the Subsidiary Guaranty, and (C) in the case of a Borrowing Base Unencumbered Equity Interest Asset, cause the Borrowing Base Unencumbered Equity Interest Asset Owner of such Proposed Borrowing Base Asset, if not the Borrower, MAC, or already a Subsidiary Guarantor, to become a Subsidiary Guarantor under the Subsidiary Guaranty and a party to this Agreement and to the Environmental Indemnity Agreement by executing and delivering to the Administrative Agent a joinder agreement in the form attached to the Subsidiary Guaranty, (ii) cause each Property Owner Parent, Borrowing Base Equity Interest Asset Owner and Borrowing Base Unencumbered Equity Interest Asset Owner, as applicable, if not already a party to the Pledge Agreement, to become a party to the Pledge Agreement by executing and delivering a joinder thereto to the Collateral Agent or, if such Person is already a party to the Pledge Agreement, to deliver a supplement to the schedules to the Pledge Agreement to the Collateral Agent, and, in each case, to deliver or cause to be delivered any and all certificates representing (x) Capital Stock (to the extent certificated) of the applicable Property Owner, (y) the Borrowing Base Equity Interest Asset (to the extent certificated) or (z) the Borrowing Base Unencumbered Equity Interest Asset (to the extent certificated), as applicable, accompanied by undated stock powers or other appropriate instruments of transfer executed in blank and appropriate UCC financing statements or amendments, as applicable, (iii) in the case of a Borrowing Base Mortgaged Property Asset, execute (as applicable) and deliver the Mortgaged Property Deliverables and (iv) take all such further actions and execute and deliver, or cause to be executed and delivered, all such other documents, instruments, agreements, certificates and opinions reasonably requested by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With respect to any Additional Equity Interest Asset described in clause (b) of the definition thereof, the Borrower Parties shall, within the time period set forth in the applicable clause of the definition of “Permitted Investment”, (i) cause the Additional Equity Interest Asset Owner of such Additional Equity Interest Asset, if not the Borrower, MAC, or already a Subsidiary Guarantor, to become a Subsidiary Guarantor under the Subsidiary Guaranty and a party to this Agreement and to the Environmental Indemnity Agreement by executing and delivering to the Administrative Agent a joinder agreement in the form attached to the Subsidiary Guaranty, (ii) cause each Additional Equity Interest Asset Owner, if not already a party to the Pledge Agreement, to become a party to the Pledge Agreement by executing and delivering a joinder thereto to the Collateral Agent or, if such Person is already a party to the Pledge Agreement, to deliver a supplement to the schedules to the Pledge Agreement to the Collateral Agent, and, in each case, to deliver or cause to be delivered any and all certificates representing the Additional Equity Interest Asset (to the extent certificated), accompanied by undated stock powers or other appropriate instruments of transfer executed in blank and appropriate UCC financing statements or amendments, as applicable, and (iii) take all such further actions and execute and deliver, or cause to be executed and delivered, all such other documents, instruments, agreements, certificates and opinions reasonably requested by Administrative Agent. For the avoidance of doubt, this </w:t>
      </w:r>
      <w:r>
        <w:rPr>
          <w:rFonts w:ascii="Times New Roman" w:hAnsi="Times New Roman"/>
          <w:sz w:val="20"/>
          <w:u w:val="single"/>
        </w:rPr>
        <w:t>Section 7.18(2)</w:t>
      </w:r>
      <w:r>
        <w:rPr>
          <w:rFonts w:ascii="Times New Roman" w:hAnsi="Times New Roman"/>
          <w:sz w:val="20"/>
        </w:rPr>
        <w:t xml:space="preserve"> shall not apply to the extent the actions required to be taken hereunder are instead taken, and permitted to be taken, pursuant to </w:t>
      </w:r>
      <w:r>
        <w:rPr>
          <w:rFonts w:ascii="Times New Roman" w:hAnsi="Times New Roman"/>
          <w:sz w:val="20"/>
          <w:u w:val="single"/>
        </w:rPr>
        <w:t>Section 7.18(1)</w:t>
      </w:r>
      <w:r>
        <w:rPr>
          <w:rFonts w:ascii="Times New Roman" w:hAnsi="Times New Roman"/>
          <w:sz w:val="20"/>
        </w:rPr>
        <w:t xml:space="preserve"> above. If and to the extent any of the foregoing is prohibited by any joint venture agreement or ground lease relating to the subject asset, then the Borrower Parties shall not be obligated to perform the prohibited act and such non-performance shall not constitute a Potential Default or Event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7.19. </w:t>
      </w:r>
      <w:r>
        <w:rPr>
          <w:rFonts w:ascii="Times New Roman" w:hAnsi="Times New Roman"/>
          <w:sz w:val="20"/>
          <w:u w:val="single"/>
        </w:rPr>
        <w:t>Further Assurances</w:t>
      </w:r>
      <w:r>
        <w:rPr>
          <w:rFonts w:ascii="Times New Roman" w:hAnsi="Times New Roman"/>
          <w:sz w:val="20"/>
        </w:rPr>
        <w:t xml:space="preserve">. The Borrower Parties shall from time to time execute and deliver, or cause to be executed and delivered, such additional instruments, certificates or documents, and take such actions, as the Administrative Agent or the Collateral Agent may reasonably request for the purposes of implementing or effectuating the provisions of this Agreement and the other Loan Documents, or of more fully perfecting or renewing the rights of the Administrative Agent, the Collateral Agent and the Lenders with respect to the Collateral (or with respect to any additions thereto or replacements or proceeds thereof or with respect to any other property or assets hereafter acquired by the Borrower Parties or any of their respective Subsidiary Entities which may be deemed to be part of the Collateral) pursuant hereto or thereto, including without limitation, information and documentation reasonably requested by the Administrative Agent any Issuing Lender, or any Lender for purposes of compliance with applicable “know your customer” requirements under the Patriot Act or other applicable anti-money laundering laws. Upon the exercise by the Administrative Agent, the Collateral Agent or any Lender of any power, right, privilege or remedy pursuant to this Agreement or the other Loan Documents which requires any consent, approval, recording, qualification or authorization of any Governmental Authority, the Borrower Parties will execute and deliver, or will cause the execution and delivery of, all applications, certifications, instruments and other documents and papers that the Administrative Agent, the Collateral Agent or such Lender may be required to obtain from any Borrower Party or Subsidiary Entity thereof to obtain such governmental consent, approval, recording, qualification or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7.20. </w:t>
      </w:r>
      <w:r>
        <w:rPr>
          <w:rFonts w:ascii="Times New Roman" w:hAnsi="Times New Roman"/>
          <w:sz w:val="20"/>
          <w:u w:val="single"/>
        </w:rPr>
        <w:t>Account Control Agreements; Cash Management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The Borrower shall execute and deliver (and cause the applicable depositary bank or securities intermediary, as the case may be, to execute and deliver) to the Collateral Agent Account Control Agreements with respect to all deposit accounts and securities accounts held in the name of the Borrower (other than any (i) such accounts that are used solely to fund payroll and payroll taxes and other employee wage and benefit payments in the ordinary course of business on a current basis, (ii) escrow accounts (to the extent maintained exclusively by the Borrower for the purpose of establishing or maintaining escrow amounts for third parties that are not Affiliates of any Borrower Parties or any Wholly-Owned Subsidiary of a Borrower Party), (iii) trust accounts (to the extent maintained exclusively by the Borrower for the purpose of establishing or maintaining trust amounts for third parties that are not Affiliates of any Borrower Parties or any Wholly-Owned Subsidiary of a Borrower Party) and (iv) dedicated cash collateral accounts to the extent subject to a Lien permitted by Section 8.1(1)) (each, a “</w:t>
      </w:r>
      <w:r>
        <w:rPr>
          <w:rFonts w:ascii="Times New Roman" w:hAnsi="Times New Roman"/>
          <w:sz w:val="20"/>
          <w:u w:val="single"/>
        </w:rPr>
        <w:t>Controlled Account</w:t>
      </w:r>
      <w:r>
        <w:rPr>
          <w:rFonts w:ascii="Times New Roman" w:hAnsi="Times New Roman"/>
          <w:sz w:val="20"/>
        </w:rPr>
        <w:t xml:space="preserve">”) (x) in the case of Controlled Accounts existing on the Closing Date, either (A) on or prior to the Closing Date or (B) within the time period set forth in </w:t>
      </w:r>
      <w:r>
        <w:rPr>
          <w:rFonts w:ascii="Times New Roman" w:hAnsi="Times New Roman"/>
          <w:sz w:val="20"/>
          <w:u w:val="single"/>
        </w:rPr>
        <w:t>Schedule 7.17</w:t>
      </w:r>
      <w:r>
        <w:rPr>
          <w:rFonts w:ascii="Times New Roman" w:hAnsi="Times New Roman"/>
          <w:sz w:val="20"/>
        </w:rPr>
        <w:t xml:space="preserve"> and (y) in the case of Controlled Accounts arising after the Closing Date, within thirty (30) days of such account becoming a Controlled Account (or such later date as may be agreed to by the Administrative Agent in its sole discretion), and shall thereafter maintain in effect such Account Control Agreements. Each Controlled Account shall be a cash collateral account, with all cash, Cash Equivalents, securities entitlements, checks and other similar items in such account securing payment of the Secured Obligations, and in which the Borrower shall have granted a first priority Lien to the Collateral Agent, on behalf of the Secured Parties, pursuant to the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(2) MAC, the Borrower and their Wholly-Owned Subsidiaries shall maintain their cash management systems and practices in a manner (including the zero balance account nature of deposit accounts of Wholly-Owned Subsidiaries of MAC and the Borrower that sweep the balance on deposit in such accounts (less a reserve for reasonably anticipated operating expenses consistent with past practice and in the ordinary course of business) on a daily basis to one or more Controlled Accounts) that is consistent in all material respects with their respective cash management systems and practices as in effect on the Closing Date (which, for the avoidance of doubt, is consistent with past practice of MAC, the Borrower and their Wholly-Owned Subsidiaries) unless otherwise consented to by the Administrative Agent (in its sole discretion) in writing. </w:t>
      </w:r>
    </w:p>
    <w:p>
      <w:pPr>
        <w:pStyle w:val="TextBody"/>
        <w:bidi w:val="0"/>
        <w:spacing w:before="240" w:after="0"/>
        <w:jc w:val="left"/>
        <w:rPr>
          <w:rFonts w:ascii="Times New Roman" w:hAnsi="Times New Roman"/>
          <w:sz w:val="20"/>
        </w:rPr>
      </w:pPr>
      <w:r>
        <w:rPr>
          <w:rFonts w:ascii="Times New Roman" w:hAnsi="Times New Roman"/>
          <w:sz w:val="20"/>
        </w:rPr>
        <w:t xml:space="preserve">7.21. </w:t>
      </w:r>
      <w:r>
        <w:rPr>
          <w:rFonts w:ascii="Times New Roman" w:hAnsi="Times New Roman"/>
          <w:sz w:val="20"/>
          <w:u w:val="single"/>
        </w:rPr>
        <w:t>Sanctions</w:t>
      </w:r>
      <w:r>
        <w:rPr>
          <w:rFonts w:ascii="Times New Roman" w:hAnsi="Times New Roman"/>
          <w:sz w:val="20"/>
        </w:rPr>
        <w:t xml:space="preserve">. Each Macerich Entity shall maintain in effect policies and procedures designed to ensure compliance by such Macerich Entity, its Subsidiaries, and its and their directors, officers, employees, agents and advisors with applicable Sanctions. It is acknowledged and agreed that the Borrower Parties are not making any covenant under this </w:t>
      </w:r>
      <w:r>
        <w:rPr>
          <w:rFonts w:ascii="Times New Roman" w:hAnsi="Times New Roman"/>
          <w:sz w:val="20"/>
          <w:u w:val="single"/>
        </w:rPr>
        <w:t>Section 7.21</w:t>
      </w:r>
      <w:r>
        <w:rPr>
          <w:rFonts w:ascii="Times New Roman" w:hAnsi="Times New Roman"/>
          <w:sz w:val="20"/>
        </w:rPr>
        <w:t xml:space="preserve"> with respect to Unaffiliated Partners or their Affiliates, or any of such Unaffiliated Partners’ or their Affiliates’ respective officers, directors, partners, members, shareholders or other beneficial interest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ARTICLE 8. </w:t>
      </w:r>
      <w:r>
        <w:rPr>
          <w:rFonts w:ascii="Times New Roman" w:hAnsi="Times New Roman"/>
          <w:sz w:val="20"/>
          <w:u w:val="single"/>
        </w:rPr>
        <w:t>Negative Covenants</w:t>
      </w:r>
      <w:r>
        <w:rPr>
          <w:rFonts w:ascii="Times New Roman" w:hAnsi="Times New Roman"/>
          <w:sz w:val="20"/>
        </w:rPr>
        <w:t xml:space="preserve">. As an inducement to the Administrative Agent, the Collateral Agent, each Issuing Lender and each Lender to enter into this Agreement, each Borrower Party, jointly and severally, hereby covenants and agrees with the Administrative Agent, the Collateral Agent, each Issuing Lender and each Lender that, from the Closing Date until Payment in Full: </w:t>
      </w:r>
    </w:p>
    <w:p>
      <w:pPr>
        <w:pStyle w:val="TextBody"/>
        <w:bidi w:val="0"/>
        <w:spacing w:before="12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Borrower Parties shall not, and shall not permit any of their respective Subsidiaries to, create, incur, assume or suffer to exist, any Lien upon any of their Property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that secure Permitted Indebtedness that is permitted to be (or not otherwise prohibited from being) secured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(C) Liens created pursuant to the Security Documents; and </w:t>
      </w:r>
    </w:p>
    <w:p>
      <w:pPr>
        <w:pStyle w:val="TextBody"/>
        <w:bidi w:val="0"/>
        <w:spacing w:before="240" w:after="0"/>
        <w:jc w:val="left"/>
        <w:rPr>
          <w:rFonts w:ascii="Times New Roman" w:hAnsi="Times New Roman"/>
          <w:sz w:val="20"/>
        </w:rPr>
      </w:pPr>
      <w:r>
        <w:rPr>
          <w:rFonts w:ascii="Times New Roman" w:hAnsi="Times New Roman"/>
          <w:sz w:val="20"/>
        </w:rPr>
        <w:t xml:space="preserve">(D) Liens listed on </w:t>
      </w:r>
      <w:r>
        <w:rPr>
          <w:rFonts w:ascii="Times New Roman" w:hAnsi="Times New Roman"/>
          <w:sz w:val="20"/>
          <w:u w:val="single"/>
        </w:rPr>
        <w:t>Schedule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No Liens shall be created, incurred, assumed or suffered to exist: </w:t>
      </w:r>
    </w:p>
    <w:p>
      <w:pPr>
        <w:pStyle w:val="TextBody"/>
        <w:bidi w:val="0"/>
        <w:spacing w:before="120" w:after="0"/>
        <w:jc w:val="left"/>
        <w:rPr>
          <w:rFonts w:ascii="Times New Roman" w:hAnsi="Times New Roman"/>
          <w:sz w:val="20"/>
        </w:rPr>
      </w:pPr>
      <w:r>
        <w:rPr>
          <w:rFonts w:ascii="Times New Roman" w:hAnsi="Times New Roman"/>
          <w:sz w:val="20"/>
        </w:rPr>
        <w:t xml:space="preserve">(A) on the Capital Stock held by MAC in the Borrower (other than Contractual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on any Pledged Equity Interests (for so long as the subject interests remain as Pledged Equity Interests), except for (x) Liens securing the Secured Obligations pursuant to the Pledge Agreement and (y) Contractual Encumbrances; </w:t>
      </w:r>
    </w:p>
    <w:p>
      <w:pPr>
        <w:pStyle w:val="TextBody"/>
        <w:bidi w:val="0"/>
        <w:spacing w:before="240" w:after="0"/>
        <w:jc w:val="left"/>
        <w:rPr>
          <w:rFonts w:ascii="Times New Roman" w:hAnsi="Times New Roman"/>
          <w:sz w:val="20"/>
        </w:rPr>
      </w:pPr>
      <w:r>
        <w:rPr>
          <w:rFonts w:ascii="Times New Roman" w:hAnsi="Times New Roman"/>
          <w:sz w:val="20"/>
        </w:rPr>
        <w:t xml:space="preserve">(C) on the Capital Stock of any Subsidiary or Joint Venture of any Person whose Capital Stock constitutes a Borrowing Base Equity Interest Asset (or formerly constituted a Borrowing Base Equity Interest Asset and continues to constitute Collateral at such time), any Person whose Capital Stock constitutes a Borrowing Base Unencumbered Equity Interest Asset (or formerly constituted a Borrowing Base Unencumbered Equity Interest Asset and continues to constitute Collateral at such time) or any Person whose Capital Stock constitutes an Additional Equity Interest Asset for so long as such Person’s Capital Stock, directly or indirectly, is a Borrowing Base Equity Interest Asset (or in the case of a former Borrowing Base Equity Interest Asset, is Collateral), a Borrowing Base Unencumbered Equity Interest Asset (or in the case of a former Borrowing Base Unencumbered Equity Interest Asset, is Collateral) or an Additional Equity Interest Asset) (other than any Pledged Equity Interests, which are addressed by clause (B) above), except for (x) Liens securing the Secured Obligations pursuant to the Pledge Agreement, (y) Liens securing Permitted Indebtedness that is permitted to be secured under this Agreement, and (z) Contractual Encumbrances; </w:t>
      </w:r>
    </w:p>
    <w:p>
      <w:pPr>
        <w:pStyle w:val="TextBody"/>
        <w:bidi w:val="0"/>
        <w:spacing w:before="240" w:after="0"/>
        <w:jc w:val="left"/>
        <w:rPr>
          <w:rFonts w:ascii="Times New Roman" w:hAnsi="Times New Roman"/>
          <w:sz w:val="20"/>
        </w:rPr>
      </w:pPr>
      <w:r>
        <w:rPr>
          <w:rFonts w:ascii="Times New Roman" w:hAnsi="Times New Roman"/>
          <w:sz w:val="20"/>
        </w:rPr>
        <w:t xml:space="preserve">(D) on any Mortgaged Property (for so long as the subject Property remains a Mortgaged Property), or the Capital Stock of any Property Owner (for so long as such entity is a Property Owner), except for (w) with respect to such Capital Stock only, Contractual Encumbrances, (x) with respect to such Mortgaged Property only, Permitted Encumbrances, (y) Liens securing the Secured Obligations, and (z) any UCC financing statements related to any of the Liens described in the immediately preceding subclauses (w), (x) and (y) of this clause (D);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on any Borrowing Base Unencumbered Asset or the Capital Stock of any Macerich Entity that directly or indirectly owns such Borrowing Base Unencumbered Asset (for so long as the subject asset remains a Borrowing Base Unencumbered Asset), except for (x) in the case of any such Borrowing Base Unencumbered Asset, Permitted Encumbrances, (y) in the case of such Capital Stock, Contractual Encumbrances and (z) Liens securing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(3) In addition, at no time shall any Borrower Party or any direct or indirect Subsidiary of the Borrower incur Indebtedness that is secured by a Lien on the Capital Stock of the Borrower or any direct or indirect Wholly-Owned Subsidiary of the Borrower, other than Liens on the Capital Stock of Subsidiaries of the Borrower securing Permitted Indebtedness that is permitted (or not otherwise prohibited) to be secured under this Agreement and Contractual Encumbrances, unless such Borrower Party has or has caused the applicable Subsidiary to have (i) caused the Secured Obligations to be secured by a Lien that is equal and ratable with any and all other Indebtedness thereby secured, (ii) entered into valid and binding security agreements and executed and delivered such other documents (including UCC-1 financing statements) and instruments as the Administrative Agent deems appropriate in its sole good faith judgment to effect the rights set forth in clause (i) of this sentence above, and (iii) caused the holder of such Indebtedness secured by such Lien to have entered into intercreditor arrangements with the Administrative Agent, for the benefit of the Lenders, in a form satisfactory to the Administrative Agent in its sole good faith judgment, to effect the rights set forth in clause (i) of this sentence above.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Indebtedness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Borrower Parties shall not incur, assume or suffer to exist, and shall not permit their respective Subsidiaries to incur, assume or suffer to exist, any (i) Indebtedness, (ii) Capital Stock (other than Disqualified Capital Stock) that is required to be accounted for as Indebtedness in accordance with GAAP or (iii) Disqualified Capital Stock, in each case, other than Permitted Indebtedness. </w:t>
      </w:r>
    </w:p>
    <w:p>
      <w:pPr>
        <w:pStyle w:val="TextBody"/>
        <w:bidi w:val="0"/>
        <w:spacing w:before="240" w:after="0"/>
        <w:jc w:val="left"/>
        <w:rPr>
          <w:rFonts w:ascii="Times New Roman" w:hAnsi="Times New Roman"/>
          <w:sz w:val="20"/>
        </w:rPr>
      </w:pPr>
      <w:r>
        <w:rPr>
          <w:rFonts w:ascii="Times New Roman" w:hAnsi="Times New Roman"/>
          <w:strike/>
          <w:color w:val="FF0000"/>
          <w:sz w:val="20"/>
        </w:rPr>
        <w:t xml:space="preserve">(2) The terms and conditions (other than pricing and similar economic terms (it being understood and agreed that amortization, maturity and financial covenants are not economic terms)) of </w:t>
      </w:r>
      <w:r>
        <w:rPr>
          <w:rFonts w:ascii="Times New Roman" w:hAnsi="Times New Roman"/>
          <w:i/>
          <w:strike/>
          <w:color w:val="00C000"/>
          <w:sz w:val="20"/>
        </w:rPr>
        <w:t xml:space="preserve">any unsecured Indebtedness of the type referred to in clauses (a)(i) and (ii) of the definition of “Indebtedness” that is recourse to any Borrower Party (excluding any Indebtedness that is recourse to a Borrower Party solely as a result of a Permitted Guarantee by such Borrower Party) </w:t>
      </w:r>
      <w:r>
        <w:rPr>
          <w:rFonts w:ascii="Times New Roman" w:hAnsi="Times New Roman"/>
          <w:strike/>
          <w:color w:val="FF0000"/>
          <w:sz w:val="20"/>
        </w:rPr>
        <w:t>may not be materially more restrictive, when taken as a whole, than the terms and conditions under this Agreement and the other Loan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(2) If, as of the closing date of any Material Credit Document or the closing date of any amendment, supplement or other modification in respect of any such Material Credit Document, such Material Credit Document shall include any Material Covenant that is not included herein or that is more restrictive, taken as a whole, than the analogous provision contained herein (any such covenant, together with any related definitions (including any components of such definitions), an “Additional or More Restrictive Covenant”), then effective from and after the occurrence of the Mortgage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Security Release Event, this Agreement, unless waived in writing by the Required Lenders and without any further action on the part of MAC, the Borrower, any Subsidiary Guarantor, the Administrative Agent, any Lender or any other Person, shall be, and shall be deemed to be, automatically amended to include such Additional or More Restrictive Covenant (for the avoidance of doubt, together with any grace, cure or other similar provisions applicable thereto) as of such closing date; provided that, if the applicable Material Credit Document is subsequently amended, modified or otherwise no longer in effect, and/or as a result such Additional or More Restrictive Covenant is modified, waived, excluded or no longer in effect, then such Additional or More Restrictive Covenant shall automatically be modified, waived, excluded or no longer in effect in the same manner in this Agreement. For the avoidance of doubt, any Additional or More Restrictive Covenant that exists prior to the occurrence of the Mortgage Security Release Event shall not be subject to this clause (2) until such time, if any, that the Mortgage Security Release Event occurs (and then shall only apply on a prospective basis, subject to the proviso in the immediately preceding sentence). As of the date hereof, it is acknowledged and agreed that no such Additional or More Restrictive Covenants exist in the agreements described in the 2026 QCI 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Fundamental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Neither MAC nor the Borrower shall do any or all of the following: merge, liquidate, wind-up or consolidate with any Person, or sell, assign, lease or otherwise effect a Disposition, whether in one transaction or in a series of transactions, of all or substantially all of its Properties and assets, whether now owned or hereafter acquired, unless, MAC or the Borrower, as applicable, is the surviving Person in any such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(2) None of the Borrower Parties shall, nor shall they permit any of their respective Subsidiaries to, engage to any material extent in any business other than such Person’s business as conducted on the date hereof and businesses which are substantially similar, related or incidental thereto or other additional businesses that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Dispositions</w:t>
      </w:r>
      <w:r>
        <w:rPr>
          <w:rFonts w:ascii="Times New Roman" w:hAnsi="Times New Roman"/>
          <w:sz w:val="20"/>
        </w:rPr>
        <w:t xml:space="preserve">. The Borrower Parties shall not permit any of the following to occur: </w:t>
      </w:r>
    </w:p>
    <w:p>
      <w:pPr>
        <w:pStyle w:val="TextBody"/>
        <w:bidi w:val="0"/>
        <w:spacing w:before="120" w:after="0"/>
        <w:jc w:val="left"/>
        <w:rPr>
          <w:rFonts w:ascii="Times New Roman" w:hAnsi="Times New Roman"/>
          <w:sz w:val="20"/>
        </w:rPr>
      </w:pPr>
      <w:r>
        <w:rPr>
          <w:rFonts w:ascii="Times New Roman" w:hAnsi="Times New Roman"/>
          <w:sz w:val="20"/>
        </w:rPr>
        <w:t xml:space="preserve">(1) Any Disposition by MAC of any of the Capital Stock of the Borrower; provided that the foregoing shall not prohibit Borrower from issuing partnership units as consideration for the acquisition of a Project otherwise permitted under this Agreement, profit participation units in connection with an employee ownership or similar plan and other Capital Stock to the extent not prohibited by this Agreement or redeeming and/or repurchasing Capital Stock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Any Disposition by any Borrower Party or any of its Subsidiaries of any of their respective Properties (or any portion thereof) if such Disposition would cause the Borrower Parties to be in violation of any of (a) the covenants set forth in </w:t>
      </w:r>
      <w:r>
        <w:rPr>
          <w:rFonts w:ascii="Times New Roman" w:hAnsi="Times New Roman"/>
          <w:sz w:val="20"/>
          <w:u w:val="single"/>
        </w:rPr>
        <w:t>Section 8.11</w:t>
      </w:r>
      <w:r>
        <w:rPr>
          <w:rFonts w:ascii="Times New Roman" w:hAnsi="Times New Roman"/>
          <w:sz w:val="20"/>
        </w:rPr>
        <w:t xml:space="preserve"> that are in effect at such time or (b) the limitations on Investments set forth in </w:t>
      </w:r>
      <w:r>
        <w:rPr>
          <w:rFonts w:ascii="Times New Roman" w:hAnsi="Times New Roman"/>
          <w:sz w:val="20"/>
          <w:u w:val="single"/>
        </w:rPr>
        <w:t>Section 8.5</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(3) Any Disposition of Collateral (or any portion thereof) (other than </w:t>
      </w:r>
      <w:r>
        <w:rPr>
          <w:rFonts w:ascii="Times New Roman" w:hAnsi="Times New Roman"/>
          <w:color w:val="0000FF"/>
          <w:sz w:val="20"/>
          <w:u w:val="single"/>
          <w:bdr w:val="double" w:sz="2" w:space="1" w:color="000000"/>
        </w:rPr>
        <w:t xml:space="preserve">(i) any such Disposition of cash or Cash Equivalents in the ordinary course of business and (ii) any such Disposition </w:t>
      </w:r>
      <w:r>
        <w:rPr>
          <w:rFonts w:ascii="Times New Roman" w:hAnsi="Times New Roman"/>
          <w:sz w:val="20"/>
        </w:rPr>
        <w:t xml:space="preserve">among Borrower Parties or Macerich Entities who become Borrower Parties concurrently with such Disposition and such Collateral continues to constitute Collateral hereunder (and the transferee executes any necessary Security Documents in connection with the foregoing)) unless the following conditions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(A) immediately prior to and after giving effect to such Disposition, no Specified Default or Event of Default shall exist (or, if a Specified Default or Event of Default is then continuing, the underlying events or circumstances that resulted in the occurrence of such Specified Default or Event of Default are effectively cured after giving effect thereto (for example, if an Event of Default shall have occurred as a result of the Borrower’s failure to make a payment that is required hereunder, and the consummation of the applicable Disposition results in net cash proceeds that are used to make such required payment) and at such time no other Specified Default or Event of Default is then continuing); </w:t>
      </w:r>
    </w:p>
    <w:p>
      <w:pPr>
        <w:pStyle w:val="TextBody"/>
        <w:bidi w:val="0"/>
        <w:spacing w:before="240" w:after="0"/>
        <w:jc w:val="left"/>
        <w:rPr>
          <w:rFonts w:ascii="Times New Roman" w:hAnsi="Times New Roman"/>
          <w:sz w:val="20"/>
        </w:rPr>
      </w:pPr>
      <w:r>
        <w:rPr>
          <w:rFonts w:ascii="Times New Roman" w:hAnsi="Times New Roman"/>
          <w:sz w:val="20"/>
        </w:rPr>
        <w:t xml:space="preserve">(B) the Borrowing Base Amount (calculated on a pro forma basis after giving effect to such Disposition and to any repayment of any Revolving Loans or LC Disbursements, and Cash Collateralization of any outstanding Letters of Credit, at the time thereof) is greater than or equal to the total Revolving Credit Exposures; </w:t>
      </w:r>
    </w:p>
    <w:p>
      <w:pPr>
        <w:pStyle w:val="TextBody"/>
        <w:bidi w:val="0"/>
        <w:spacing w:before="240" w:after="0"/>
        <w:jc w:val="left"/>
        <w:rPr>
          <w:rFonts w:ascii="Times New Roman" w:hAnsi="Times New Roman"/>
          <w:sz w:val="20"/>
        </w:rPr>
      </w:pPr>
      <w:r>
        <w:rPr>
          <w:rFonts w:ascii="Times New Roman" w:hAnsi="Times New Roman"/>
          <w:sz w:val="20"/>
        </w:rPr>
        <w:t xml:space="preserve">(C) such Disposition shall constitute a bona fide sale to either (i) a Joint Venture or non-Wholly-Owned Subsidiary in connection with the capitalization thereof, (ii) a Person that is not an Affiliate of any Macerich Entity or (iii) a Person who is a Macerich Entity or an Affiliate of a Macerich Entity, provided that such Affiliate complies with the requirements hereunder and under the Security Documents with respect to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(D) MAC shall have delivered to the Administrative Agent and the Collateral Agent (i) a certificate of a Responsible Officer of MAC (I) certifying compliance with the foregoing clauses (A) and (C) and (ii) a Borrowing Base Certificate demonstrating compliance with the foregoing clause (B).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any Disposition of Collateral pursuant to this </w:t>
      </w:r>
      <w:r>
        <w:rPr>
          <w:rFonts w:ascii="Times New Roman" w:hAnsi="Times New Roman"/>
          <w:sz w:val="20"/>
          <w:u w:val="single"/>
        </w:rPr>
        <w:t>Section 8.4(3)</w:t>
      </w:r>
      <w:r>
        <w:rPr>
          <w:rFonts w:ascii="Times New Roman" w:hAnsi="Times New Roman"/>
          <w:sz w:val="20"/>
        </w:rPr>
        <w:t xml:space="preserve"> that was a Borrowing Base Asset immediately prior to the consummation thereof (other than a Disposition of Collateral where such Collateral continues to constitute Collateral hereunder), such Borrowing Base Asset shall cease to constitute a Borrowing Base Asset hereunder and such Collateral shall be released from the Liens under the Loan Documents in accordance with Section 10.12. Notwithstanding the foregoing, the applicable Property may later be added as a Borrowing Base Asset in accordance with </w:t>
      </w:r>
      <w:r>
        <w:rPr>
          <w:rFonts w:ascii="Times New Roman" w:hAnsi="Times New Roman"/>
          <w:sz w:val="20"/>
          <w:u w:val="single"/>
        </w:rPr>
        <w:t>Section 7.14</w:t>
      </w:r>
      <w:r>
        <w:rPr>
          <w:rFonts w:ascii="Times New Roman" w:hAnsi="Times New Roman"/>
          <w:sz w:val="20"/>
        </w:rPr>
        <w:t xml:space="preserve"> and the other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Investments</w:t>
      </w:r>
      <w:r>
        <w:rPr>
          <w:rFonts w:ascii="Times New Roman" w:hAnsi="Times New Roman"/>
          <w:sz w:val="20"/>
        </w:rPr>
        <w:t xml:space="preserve">. The Borrower Parties shall not, and shall not permit any of their respective Subsidiaries to, directly or indirectly make any Investment, except Permitted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Transactions with Partners and Affiliates</w:t>
      </w:r>
      <w:r>
        <w:rPr>
          <w:rFonts w:ascii="Times New Roman" w:hAnsi="Times New Roman"/>
          <w:sz w:val="20"/>
        </w:rPr>
        <w:t>. The Borrower Parties shall not, and shall not permit any of their respective Subsidiaries to directly or indirectly enter into or permit to exist any transaction (including, without limitation, the purchase, sale, lease or exchange of any property or the rendering of any service) with a holder or holders of more than five percent (5%) of any class of equity Securities of MAC, or with any Affiliate of MAC which is not its Subsidiary (a “</w:t>
      </w:r>
      <w:r>
        <w:rPr>
          <w:rFonts w:ascii="Times New Roman" w:hAnsi="Times New Roman"/>
          <w:sz w:val="20"/>
          <w:u w:val="single"/>
        </w:rPr>
        <w:t>Transactional Affiliate</w:t>
      </w:r>
      <w:r>
        <w:rPr>
          <w:rFonts w:ascii="Times New Roman" w:hAnsi="Times New Roman"/>
          <w:sz w:val="20"/>
        </w:rPr>
        <w:t xml:space="preserve">”), except as set forth on </w:t>
      </w:r>
      <w:r>
        <w:rPr>
          <w:rFonts w:ascii="Times New Roman" w:hAnsi="Times New Roman"/>
          <w:sz w:val="20"/>
          <w:u w:val="single"/>
        </w:rPr>
        <w:t>Schedule 8.6</w:t>
      </w:r>
      <w:r>
        <w:rPr>
          <w:rFonts w:ascii="Times New Roman" w:hAnsi="Times New Roman"/>
          <w:sz w:val="20"/>
        </w:rPr>
        <w:t xml:space="preserve"> or except upon fair and reasonable terms no less favorable to the Borrower Parties than would be obtained in a comparable arm’s-length transaction with a Person not a Transactional Affiliate, taken as a whole; </w:t>
      </w:r>
      <w:r>
        <w:rPr>
          <w:rFonts w:ascii="Times New Roman" w:hAnsi="Times New Roman"/>
          <w:sz w:val="20"/>
          <w:u w:val="single"/>
        </w:rPr>
        <w:t>provided</w:t>
      </w:r>
      <w:r>
        <w:rPr>
          <w:rFonts w:ascii="Times New Roman" w:hAnsi="Times New Roman"/>
          <w:sz w:val="20"/>
        </w:rPr>
        <w:t xml:space="preserve"> that any management agreement substantially in the form of the Master Management Agreements shall be deemed to satisfy the criteria set forth in this Section 8.6.</w:t>
      </w:r>
      <w:r>
        <w:rPr>
          <w:rFonts w:ascii="Times New Roman" w:hAnsi="Times New Roman"/>
          <w:color w:val="0000FF"/>
          <w:sz w:val="20"/>
          <w:u w:val="single"/>
          <w:bdr w:val="double" w:sz="2" w:space="1" w:color="000000"/>
        </w:rPr>
        <w:t xml:space="preserve"> This Section 8.6 shall not prohibit the entry into any Qualified Bond Hedge Transaction or Qualified Warrant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Margin Regulations; Securities Laws</w:t>
      </w:r>
      <w:r>
        <w:rPr>
          <w:rFonts w:ascii="Times New Roman" w:hAnsi="Times New Roman"/>
          <w:sz w:val="20"/>
        </w:rPr>
        <w:t xml:space="preserve">. Neither MAC nor any of its Subsidiaries shall use all or any portion of the proceeds of any credit extended under this Agreement to purchase or carry Margin Stock for any purpose which violates, or which would be inconsistent with, any Requirements of Law (including, without limitation, the provisions of the regulations of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Organizational Documents</w:t>
      </w:r>
      <w:r>
        <w:rPr>
          <w:rFonts w:ascii="Times New Roman" w:hAnsi="Times New Roman"/>
          <w:sz w:val="20"/>
        </w:rPr>
        <w:t>. Without the prior written consent of Administrative Agent, which shall not be unreasonably withheld, the Borrower Parties shall not Modify any of the terms or provisions in any of their respective Organizational Documents as in effect as of the Closing Date which would change in any material manner the rights and obligations of the parties to such Organizational Documents, except (a) any Modifications necessary for the Borrower Parties to issue, redeem or repurchase Capital Stock (</w:t>
      </w:r>
      <w:r>
        <w:rPr>
          <w:rFonts w:ascii="Times New Roman" w:hAnsi="Times New Roman"/>
          <w:sz w:val="20"/>
          <w:u w:val="single"/>
        </w:rPr>
        <w:t>provided</w:t>
      </w:r>
      <w:r>
        <w:rPr>
          <w:rFonts w:ascii="Times New Roman" w:hAnsi="Times New Roman"/>
          <w:sz w:val="20"/>
        </w:rPr>
        <w:t xml:space="preserve"> such issuance, redemption and/or repurchase does not otherwise violate the terms of this Agreement) and (b) any Modifications which would not have a Material Adverse Effect on the Borrower Parties or a material adverse effect on the rights or interests of the Secured Parties in conjunction with the Loans or under the Loan Documents (it being understood that, without limitation, modifications solely to the extent necessary to reflect mergers, consolidations, and changes in legal entity form, name, jurisdiction and ownership, in each case of the foregoing, which are permitted under (or not in violation of) this Agreement would not have a Material Adverse Effect on the Borrower Parties or a material adverse effect on the rights or interests of the Secured Parties in conjunction with the Loans or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Fiscal Year</w:t>
      </w:r>
      <w:r>
        <w:rPr>
          <w:rFonts w:ascii="Times New Roman" w:hAnsi="Times New Roman"/>
          <w:sz w:val="20"/>
        </w:rPr>
        <w:t xml:space="preserve">. Without the prior written consent of Administrative Agent, none of the Borrower Parties or Consolidated Entities (other than a De Minimis Subsidiary) shall change its Fiscal Year for accounting or tax purposes from a period consisting of the 12-month period ending on December 31 of each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Distributions</w:t>
      </w:r>
      <w:r>
        <w:rPr>
          <w:rFonts w:ascii="Times New Roman" w:hAnsi="Times New Roman"/>
          <w:sz w:val="20"/>
        </w:rPr>
        <w:t xml:space="preserve">. Neither MAC nor the Borrower shall make any Distribution unless either (A) such Distribution constitutes a REIT Status Maintenance Dividend or (B) no Specified Default or Event of Default has occurred and is continuing or would result from such Distribution; </w:t>
      </w:r>
      <w:r>
        <w:rPr>
          <w:rFonts w:ascii="Times New Roman" w:hAnsi="Times New Roman"/>
          <w:sz w:val="20"/>
          <w:u w:val="single"/>
        </w:rPr>
        <w:t>provided</w:t>
      </w:r>
      <w:r>
        <w:rPr>
          <w:rFonts w:ascii="Times New Roman" w:hAnsi="Times New Roman"/>
          <w:sz w:val="20"/>
        </w:rPr>
        <w:t xml:space="preserve"> that, the foregoing shall not prohibit the Borrower from (i) so long as no Potential Default or Event of Default is continuing, issuing partnership units as consideration for the acquisition of a Project otherwise permitted under this Agreement, (ii) exchanging limited partnership units for common stock in MAC, or (iii) issuing profit participation units in connection with an employee ownership or similar plan.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Financial Covenants of Borrower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i/>
          <w:sz w:val="20"/>
        </w:rPr>
        <w:t xml:space="preserve">Minimum Total Debt Yield. </w:t>
      </w:r>
      <w:r>
        <w:rPr>
          <w:rFonts w:ascii="Times New Roman" w:hAnsi="Times New Roman"/>
          <w:sz w:val="20"/>
        </w:rPr>
        <w:t xml:space="preserve">As of the last day of each Fiscal Quarter occurring on or prior to the date that the Mortgage Security Release Event occurs, commencing with the Fiscal Quarter ended December 31, 2025, the Debt Yield shall not be less than 10.00%.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i/>
          <w:sz w:val="20"/>
        </w:rPr>
        <w:t xml:space="preserve">Minimum Fixed Charge Coverage Ratio. </w:t>
      </w:r>
      <w:r>
        <w:rPr>
          <w:rFonts w:ascii="Times New Roman" w:hAnsi="Times New Roman"/>
          <w:sz w:val="20"/>
        </w:rPr>
        <w:t xml:space="preserve">As of the last day of each Fiscal Quarter, commencing with the Fiscal Quarter ended December 31, 2025, the Fixed Charge Coverage Ratio shall not be less than 1.50 to 1:00.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trike/>
          <w:color w:val="FF0000"/>
          <w:sz w:val="20"/>
        </w:rPr>
        <w:t>Maximum Floating Rate Debt.</w:t>
      </w:r>
      <w:r>
        <w:rPr>
          <w:rFonts w:ascii="Times New Roman" w:hAnsi="Times New Roman"/>
          <w:strike/>
          <w:color w:val="FF0000"/>
          <w:sz w:val="20"/>
        </w:rPr>
        <w:t xml:space="preserve"> The Borrower Parties shall maintain Hedging Obligations on a notional amount of Total Liabilities in respect of Borrowed Indebtedness so that such notional amount, when added to the aggregate principal amount of such Total Liabilities which bears interest at a fixed rate, equals or exceeds 65% of the aggregate principal amount of all Total Liabilities in respect of Borrowed Indebtedness.</w:t>
      </w:r>
      <w:r>
        <w:rPr>
          <w:rFonts w:ascii="Times New Roman" w:hAnsi="Times New Roman"/>
          <w:color w:val="0000FF"/>
          <w:sz w:val="20"/>
          <w:u w:val="single"/>
          <w:bdr w:val="double" w:sz="2" w:space="1" w:color="000000"/>
        </w:rPr>
        <w:t>[</w:t>
      </w:r>
      <w:r>
        <w:rPr>
          <w:rFonts w:ascii="Times New Roman" w:hAnsi="Times New Roman"/>
          <w:i/>
          <w:color w:val="0000FF"/>
          <w:sz w:val="20"/>
          <w:u w:val="single"/>
          <w:bdr w:val="double" w:sz="2" w:space="1" w:color="000000"/>
        </w:rPr>
        <w:t>Reserved</w:t>
      </w:r>
      <w:r>
        <w:rPr>
          <w:rFonts w:ascii="Times New Roman" w:hAnsi="Times New Roman"/>
          <w:color w:val="0000FF"/>
          <w:sz w:val="20"/>
          <w:u w:val="single"/>
          <w:bdr w:val="double" w:sz="2" w:space="1" w:color="000000"/>
        </w:rPr>
        <w:t>]</w:t>
      </w:r>
      <w:r>
        <w:rPr>
          <w:rFonts w:ascii="Times New Roman" w:hAnsi="Times New Roman"/>
          <w:b/>
          <w:i/>
          <w:color w:val="0000FF"/>
          <w:sz w:val="20"/>
          <w:u w:val="single"/>
          <w:bdr w:val="double" w:sz="2" w:space="1" w:color="000000"/>
        </w:rPr>
        <w:t>.</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i/>
          <w:sz w:val="20"/>
        </w:rPr>
        <w:t xml:space="preserve">Maximum Total Leverage Ratio. </w:t>
      </w:r>
      <w:r>
        <w:rPr>
          <w:rFonts w:ascii="Times New Roman" w:hAnsi="Times New Roman"/>
          <w:sz w:val="20"/>
        </w:rPr>
        <w:t xml:space="preserve">On and after the date on which the Mortgage Security Release Event occurs, the Total Leverage Ratio shall not, at any time, exceed 6.50:1.00.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i/>
          <w:sz w:val="20"/>
        </w:rPr>
        <w:t xml:space="preserve">Maximum Secured Leverage Ratio. </w:t>
      </w:r>
      <w:r>
        <w:rPr>
          <w:rFonts w:ascii="Times New Roman" w:hAnsi="Times New Roman"/>
          <w:sz w:val="20"/>
        </w:rPr>
        <w:t xml:space="preserve">On and after the date on which the Mortgage Security Release Event occurs, the Secured Leverage Ratio shall not, at any time, exceed 52.50%.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i/>
          <w:sz w:val="20"/>
        </w:rPr>
        <w:t xml:space="preserve">Maximum Unsecured Leverage Ratio. </w:t>
      </w:r>
      <w:r>
        <w:rPr>
          <w:rFonts w:ascii="Times New Roman" w:hAnsi="Times New Roman"/>
          <w:sz w:val="20"/>
        </w:rPr>
        <w:t xml:space="preserve">On and after the date on which the Mortgage Security Release Event occurs, the Unsecured Leverage Ratio shall not, at any time, exceed 60%.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i/>
          <w:sz w:val="20"/>
        </w:rPr>
        <w:t xml:space="preserve">Minimum Unsecured Interest Coverage Ratio. </w:t>
      </w:r>
      <w:r>
        <w:rPr>
          <w:rFonts w:ascii="Times New Roman" w:hAnsi="Times New Roman"/>
          <w:sz w:val="20"/>
        </w:rPr>
        <w:t xml:space="preserve">As of the last day of each Fiscal Quarter, commencing with the first Fiscal Quarter ending on or after the date that the Mortgage Security Release Event occurs, the Unsecured Interest Coverage Ratio shall not be less than 1.50 to 1.00.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i/>
          <w:sz w:val="20"/>
        </w:rPr>
        <w:t>Minimum Net Worth</w:t>
      </w:r>
      <w:r>
        <w:rPr>
          <w:rFonts w:ascii="Times New Roman" w:hAnsi="Times New Roman"/>
          <w:sz w:val="20"/>
        </w:rPr>
        <w:t>. On and after the date on which the Mortgage Security Release Event occurs, Net Worth shall not, at any time, be less than the sum of (i) 75% of Net Worth as reported in the Form 10-Q or 10-K of MAC most recently filed on or prior to the date on which the Mortgage Security Release Event occurs, plus (ii) 75% of the aggregate amount of net cash proceeds received by MAC from issuances or sales of any equity or other ownership interests of MAC after the date of the Form 10-Q or 10-K, as applicable, referred to in the immediately preceding clause (i).</w:t>
      </w:r>
      <w:r>
        <w:rPr>
          <w:rFonts w:ascii="Times New Roman" w:hAnsi="Times New Roman"/>
          <w:color w:val="0000FF"/>
          <w:sz w:val="20"/>
          <w:u w:val="single"/>
          <w:bdr w:val="double" w:sz="2" w:space="1" w:color="000000"/>
        </w:rPr>
        <w:t xml:space="preserve"> For the avoidance of doubt, the proceeds from the issuance of any Qualified Convertible Indebtedness and/or Qualified Warrant Transaction shall not be included in Net Worth, including the amount referred to in clause (ii) of the preceding sentence.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b/>
          <w:i/>
          <w:sz w:val="20"/>
        </w:rPr>
        <w:t xml:space="preserve">Unencumbered Pool Properties. </w:t>
      </w:r>
      <w:r>
        <w:rPr>
          <w:rFonts w:ascii="Times New Roman" w:hAnsi="Times New Roman"/>
          <w:sz w:val="20"/>
        </w:rPr>
        <w:t xml:space="preserve">On and after the date on which the Mortgage Security Release Event occurs, the Unencumbered Pool Properties Value shall not, at any time, be less than $750,000,000. </w:t>
      </w:r>
    </w:p>
    <w:p>
      <w:pPr>
        <w:pStyle w:val="TextBody"/>
        <w:bidi w:val="0"/>
        <w:spacing w:before="240" w:after="0"/>
        <w:jc w:val="left"/>
        <w:rPr>
          <w:rFonts w:ascii="Times New Roman" w:hAnsi="Times New Roman"/>
          <w:sz w:val="20"/>
        </w:rPr>
      </w:pPr>
      <w:r>
        <w:rPr>
          <w:rFonts w:ascii="Times New Roman" w:hAnsi="Times New Roman"/>
          <w:sz w:val="20"/>
        </w:rPr>
        <w:t xml:space="preserve">(10) In the event the Borrower Parties fail to comply with the financial covenants set forth in this </w:t>
      </w:r>
      <w:r>
        <w:rPr>
          <w:rFonts w:ascii="Times New Roman" w:hAnsi="Times New Roman"/>
          <w:sz w:val="20"/>
          <w:u w:val="single"/>
        </w:rPr>
        <w:t>Section 8.11</w:t>
      </w:r>
      <w:r>
        <w:rPr>
          <w:rFonts w:ascii="Times New Roman" w:hAnsi="Times New Roman"/>
          <w:sz w:val="20"/>
        </w:rPr>
        <w:t xml:space="preserve"> at any time following the date on which the Mortgage Security Release Event occurs, it shall not be an Event of Default under this Agreement unless such failure continues for a period of ten (10) Business Days (it being understood that Borrower may repay Indebtedness during such ten (10) Business Day period and such prepayment will reduce Total Liabilities, Secured Indebtedness and/or Unsecured Indebtedness, as applicable, for the purposes of determining compliance with the financial covenants in this </w:t>
      </w:r>
      <w:r>
        <w:rPr>
          <w:rFonts w:ascii="Times New Roman" w:hAnsi="Times New Roman"/>
          <w:sz w:val="20"/>
          <w:u w:val="single"/>
        </w:rPr>
        <w:t>Section 8.11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Outbound Investment Rules</w:t>
      </w:r>
      <w:r>
        <w:rPr>
          <w:rFonts w:ascii="Times New Roman" w:hAnsi="Times New Roman"/>
          <w:sz w:val="20"/>
        </w:rPr>
        <w:t xml:space="preserve">. None of the Borrower Parties will, nor will they permit any of their respective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transaction”, as such term is defined in the Outbound Investment Rules, if any Borrower Party or any Subsidiary thereof were a U.S. Person or (iii) any other activity that would cause any Agent or Lender to be in violation of the Outbound Investment Rules or cause any Agent or Lender to be legally prohibited by the Outbound Investment Rules from performing or enforcing its rights under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ARTICLE 9.</w:t>
      </w:r>
      <w:r>
        <w:rPr>
          <w:rFonts w:ascii="Times New Roman" w:hAnsi="Times New Roman"/>
          <w:sz w:val="20"/>
          <w:u w:val="single"/>
        </w:rPr>
        <w:t xml:space="preserve"> Events of Default</w:t>
      </w:r>
      <w:r>
        <w:rPr>
          <w:rFonts w:ascii="Times New Roman" w:hAnsi="Times New Roman"/>
          <w:sz w:val="20"/>
        </w:rPr>
        <w:t>. Upon the occurrence of any of the following events (an “</w:t>
      </w:r>
      <w:r>
        <w:rPr>
          <w:rFonts w:ascii="Times New Roman" w:hAnsi="Times New Roman"/>
          <w:sz w:val="20"/>
          <w:u w:val="single"/>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9.1. Any Borrower Party shall fail to make any payment of principal or interest on the Loans or pay any reimbursement obligation in respect of any LC Disbursement on the date when due or shall fail to pay any other Obligation within three days of the date when due; or </w:t>
      </w:r>
    </w:p>
    <w:p>
      <w:pPr>
        <w:pStyle w:val="TextBody"/>
        <w:bidi w:val="0"/>
        <w:spacing w:before="240" w:after="0"/>
        <w:jc w:val="left"/>
        <w:rPr>
          <w:rFonts w:ascii="Times New Roman" w:hAnsi="Times New Roman"/>
          <w:sz w:val="20"/>
        </w:rPr>
      </w:pPr>
      <w:r>
        <w:rPr>
          <w:rFonts w:ascii="Times New Roman" w:hAnsi="Times New Roman"/>
          <w:sz w:val="20"/>
        </w:rPr>
        <w:t xml:space="preserve">9.2. Any representation or warranty made by the Borrower Parties in any Loan Document or in connection with any Loan Document shall be inaccurate or incomplete in any material respect on or as of the date made or deemed made (except as otherwise provided in </w:t>
      </w:r>
      <w:r>
        <w:rPr>
          <w:rFonts w:ascii="Times New Roman" w:hAnsi="Times New Roman"/>
          <w:sz w:val="20"/>
          <w:u w:val="single"/>
        </w:rPr>
        <w:t>Section 6.28(3)</w:t>
      </w:r>
      <w:r>
        <w:rPr>
          <w:rFonts w:ascii="Times New Roman" w:hAnsi="Times New Roman"/>
          <w:sz w:val="20"/>
        </w:rPr>
        <w:t xml:space="preserve"> or otherwise contemplated herein); or </w:t>
      </w:r>
    </w:p>
    <w:p>
      <w:pPr>
        <w:pStyle w:val="TextBody"/>
        <w:bidi w:val="0"/>
        <w:spacing w:before="240" w:after="0"/>
        <w:jc w:val="left"/>
        <w:rPr>
          <w:rFonts w:ascii="Times New Roman" w:hAnsi="Times New Roman"/>
          <w:sz w:val="20"/>
        </w:rPr>
      </w:pPr>
      <w:r>
        <w:rPr>
          <w:rFonts w:ascii="Times New Roman" w:hAnsi="Times New Roman"/>
          <w:sz w:val="20"/>
        </w:rPr>
        <w:t xml:space="preserve">9.3. Any of the Borrower Parties shall default in the observance or performance of any covenant or agreement contained in </w:t>
      </w:r>
      <w:r>
        <w:rPr>
          <w:rFonts w:ascii="Times New Roman" w:hAnsi="Times New Roman"/>
          <w:sz w:val="20"/>
          <w:u w:val="single"/>
        </w:rPr>
        <w:t>Section 1.4(11)</w:t>
      </w:r>
      <w:r>
        <w:rPr>
          <w:rFonts w:ascii="Times New Roman" w:hAnsi="Times New Roman"/>
          <w:sz w:val="20"/>
        </w:rPr>
        <w:t xml:space="preserve">, </w:t>
      </w:r>
      <w:r>
        <w:rPr>
          <w:rFonts w:ascii="Times New Roman" w:hAnsi="Times New Roman"/>
          <w:sz w:val="20"/>
          <w:u w:val="single"/>
        </w:rPr>
        <w:t>Article 8</w:t>
      </w:r>
      <w:r>
        <w:rPr>
          <w:rFonts w:ascii="Times New Roman" w:hAnsi="Times New Roman"/>
          <w:sz w:val="20"/>
        </w:rPr>
        <w:t xml:space="preserve"> </w:t>
      </w:r>
      <w:r>
        <w:rPr>
          <w:rFonts w:ascii="Times New Roman" w:hAnsi="Times New Roman"/>
          <w:color w:val="0000FF"/>
          <w:sz w:val="20"/>
          <w:u w:val="single"/>
          <w:bdr w:val="double" w:sz="2" w:space="1" w:color="000000"/>
        </w:rPr>
        <w:t xml:space="preserve">(with respect to any Additional or More Restrictive Covenant that is included in this Agreement pursuant to and in accordance with Section 8.2(2), after giving effect to any grace, cure or other similar provisions applicable thereto) </w:t>
      </w:r>
      <w:r>
        <w:rPr>
          <w:rFonts w:ascii="Times New Roman" w:hAnsi="Times New Roman"/>
          <w:sz w:val="20"/>
        </w:rPr>
        <w:t xml:space="preserve">or </w:t>
      </w:r>
      <w:r>
        <w:rPr>
          <w:rFonts w:ascii="Times New Roman" w:hAnsi="Times New Roman"/>
          <w:sz w:val="20"/>
          <w:u w:val="single"/>
        </w:rPr>
        <w:t xml:space="preserve">Sections 7.3(1) </w:t>
      </w:r>
      <w:r>
        <w:rPr>
          <w:rFonts w:ascii="Times New Roman" w:hAnsi="Times New Roman"/>
          <w:sz w:val="20"/>
        </w:rPr>
        <w:t xml:space="preserve">(with respect only to the Borrower and MAC), </w:t>
      </w:r>
      <w:r>
        <w:rPr>
          <w:rFonts w:ascii="Times New Roman" w:hAnsi="Times New Roman"/>
          <w:sz w:val="20"/>
          <w:u w:val="single"/>
        </w:rPr>
        <w:t>7.5(1)</w:t>
      </w:r>
      <w:r>
        <w:rPr>
          <w:rFonts w:ascii="Times New Roman" w:hAnsi="Times New Roman"/>
          <w:sz w:val="20"/>
        </w:rPr>
        <w:t xml:space="preserve">, </w:t>
      </w:r>
      <w:r>
        <w:rPr>
          <w:rFonts w:ascii="Times New Roman" w:hAnsi="Times New Roman"/>
          <w:sz w:val="20"/>
          <w:u w:val="single"/>
        </w:rPr>
        <w:t>7.11</w:t>
      </w:r>
      <w:r>
        <w:rPr>
          <w:rFonts w:ascii="Times New Roman" w:hAnsi="Times New Roman"/>
          <w:sz w:val="20"/>
        </w:rPr>
        <w:t xml:space="preserve">, or </w:t>
      </w:r>
      <w:r>
        <w:rPr>
          <w:rFonts w:ascii="Times New Roman" w:hAnsi="Times New Roman"/>
          <w:sz w:val="20"/>
          <w:u w:val="single"/>
        </w:rPr>
        <w:t>7.12</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9.4. Any of the Borrower Parties shall fail to observe or perform any other term or provision contained in the Loan Documents and such failure shall continue for thirty (30) days following the date a Responsible Officer of such Borrower Party knew of such failure or Borrower Party received notice thereof from Administrative Agent; provided that if such failure is capable of being cured but is not capable of being cured within thirty (30) days, such thirty (30) day period will be extended to sixty (60) days provided the Borrower is diligently seeking to cure the same (other than as provided in </w:t>
      </w:r>
      <w:r>
        <w:rPr>
          <w:rFonts w:ascii="Times New Roman" w:hAnsi="Times New Roman"/>
          <w:sz w:val="20"/>
          <w:u w:val="single"/>
        </w:rPr>
        <w:t>Section 7.16</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9.5. Any of the Borrower Parties, or any of their respective Subsidiaries, shall default in any payment of principal of or interest on any recourse Indebtedness (other than (x) the Obligations or (y) solely in the case of a Subsidiary that is not a Borrower Party, any Specified Indebtedness) in an aggregate unpaid amount for all such Persons in excess of $150,000,000, and, prior to the election of the Lenders to accelerate the Obligations hereunder, such recourse Indebtedness is not paid or the payment thereof waived or cured in accordance with the terms of the documents, instruments and agreements evidencing the same; provided that any Borrowing Base Asset that ceases to satisfy the Borrowing Base Criteria applicable to such Borrowing Base Asset as a result of any Specified Debt Default shall (i) no longer qualify as a Borrowing Base Asset and shall automatically cease to be a Borrowing Base Asset (and cease to be included in the Borrowing Base Amount) on the date of such Specified Debt Default (and the Borrower shall make any mandatory repayment required under Section 1.9(2)(A), if any, as a result of any such reduction of the Borrowing Base Amount as and when required under Section 1.9(2)(A)) and (ii) other than in the case of a Borrowing Base Unencumbered Asset, continue to constitute Collateral (together with any related pledges of Capital Stock) until released in accordance with and subject to the requirements of </w:t>
      </w:r>
      <w:r>
        <w:rPr>
          <w:rFonts w:ascii="Times New Roman" w:hAnsi="Times New Roman"/>
          <w:sz w:val="20"/>
          <w:u w:val="single"/>
        </w:rPr>
        <w:t>Section 10.12</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9.6. [Reserved]; or </w:t>
      </w:r>
    </w:p>
    <w:p>
      <w:pPr>
        <w:pStyle w:val="TextBody"/>
        <w:bidi w:val="0"/>
        <w:spacing w:before="240" w:after="0"/>
        <w:jc w:val="left"/>
        <w:rPr>
          <w:rFonts w:ascii="Times New Roman" w:hAnsi="Times New Roman"/>
          <w:sz w:val="20"/>
        </w:rPr>
      </w:pPr>
      <w:r>
        <w:rPr>
          <w:rFonts w:ascii="Times New Roman" w:hAnsi="Times New Roman"/>
          <w:sz w:val="20"/>
        </w:rPr>
        <w:t xml:space="preserve">9.7. (1) Any of the Borrower Parties or any Consolidated Entities (other than a De Minimis Subsidiary), shall commence any case, proceeding or other action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appointment of a receiver, trustee, custodian or other similar official for it or for all or any substantial part of its assets, or making a general assignment for the benefit of its creditors; or (2) there shall be commenced against any of the Borrower Parties or any Consolidated Entities (other than a De Minimis Subsidiary) any case, proceeding or other action of a nature referred to in clause (1) above which (i) results in the entry of an order for relief or any such adjudication or appointment, or (ii) remains undismissed, undischarged or unbonded for a period of ninety (90) days; or (3) there shall be commenced against any of the Borrower Parties or any Consolidated Entities (other than a De Minimis Subsidiary) any case, proceeding or other action seeking issuance of a warrant of attachment, execution, distraint or similar process against all or substantially all of its assets which results in the entry of an order for any such relief which shall not have been vacated, discharged, stayed, satisfied or bonded pending appeal within ninety (90) days from the entry thereof; or (4) any of the Borrower Parties or any Consolidated Entities (other than a De Minimis Subsidiary) shall take any action in furtherance of, or indicating its consent to, approval of, or acquiescence in (other than in connection with a final settlement), any of the acts set forth in </w:t>
      </w:r>
      <w:r>
        <w:rPr>
          <w:rFonts w:ascii="Times New Roman" w:hAnsi="Times New Roman"/>
          <w:sz w:val="20"/>
          <w:u w:val="single"/>
        </w:rPr>
        <w:t>clause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or </w:t>
      </w:r>
      <w:r>
        <w:rPr>
          <w:rFonts w:ascii="Times New Roman" w:hAnsi="Times New Roman"/>
          <w:sz w:val="20"/>
          <w:u w:val="single"/>
        </w:rPr>
        <w:t>(3)</w:t>
      </w:r>
      <w:r>
        <w:rPr>
          <w:rFonts w:ascii="Times New Roman" w:hAnsi="Times New Roman"/>
          <w:sz w:val="20"/>
        </w:rPr>
        <w:t xml:space="preserve"> above; or (5) any of the Borrower Parties or any Consolidated Entities (other than a De Minimis Subsidiary) shall generally not, or shall be unable to, or shall admit in writing in any proceeding identified in (1), (2) or (3) its inability to, pay its debts as they become due, in each case unless such action relates to Permitted Indebtedness of a Macerich Entity that is not a Borrower Party (including, without limitation, Specified Indebtedness);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9.8. (1) An ERISA Event shall occur with respect to a Pension Plan or Multiemployer Plan which has resulted or could reasonably be expected to result in liability of any of the Borrower Parties in an aggregate amount in excess of $125,000,000, (2) the commencement or increase of contributions to, or the adoption of or the amendment of a Pension Plan by any of the Borrower Parties or an ERISA Affiliate which has resulted or could reasonably be expected to result in an increase in Unfunded Pension Liability among all Pension Plans in an aggregate amount in excess of $125,000,000 or (3) any of the Borrower Parties or an ERISA Affiliate shall fail to pay when due, after the expiration of any applicable grace period, any installment payment with respect to its withdrawal liability under Section 4201 of ERISA under a Multiemployer Plan, which has resulted or could reasonably be expected to result in a Material Adverse Effect; or </w:t>
      </w:r>
    </w:p>
    <w:p>
      <w:pPr>
        <w:pStyle w:val="TextBody"/>
        <w:bidi w:val="0"/>
        <w:spacing w:before="240" w:after="0"/>
        <w:jc w:val="left"/>
        <w:rPr>
          <w:rFonts w:ascii="Times New Roman" w:hAnsi="Times New Roman"/>
          <w:sz w:val="20"/>
        </w:rPr>
      </w:pPr>
      <w:r>
        <w:rPr>
          <w:rFonts w:ascii="Times New Roman" w:hAnsi="Times New Roman"/>
          <w:sz w:val="20"/>
        </w:rPr>
        <w:t>9.9. One or more judgments or decrees in an aggregate unpaid amount in excess of $150,000,000 (excluding (i) judgments and decrees covered by insurance, without giving effect to self-insurance or deductibles and (ii) judgments and decrees with respect to the exercise of remedies by mortgage and mezzanine lenders in relation to Permitted Indebtedness (including, without limitation, Specified Indebtedness) and for which such judgment or decree is not enforced against any assets directly owned by a Borrower Party (other than any collateral for the subject mortgage loan or mezzanine loan) (such judgments or decrees, “</w:t>
      </w:r>
      <w:r>
        <w:rPr>
          <w:rFonts w:ascii="Times New Roman" w:hAnsi="Times New Roman"/>
          <w:sz w:val="20"/>
          <w:u w:val="single"/>
        </w:rPr>
        <w:t>Excepted Judgments</w:t>
      </w:r>
      <w:r>
        <w:rPr>
          <w:rFonts w:ascii="Times New Roman" w:hAnsi="Times New Roman"/>
          <w:sz w:val="20"/>
        </w:rPr>
        <w:t xml:space="preserve">”); provided that any Borrowing Base Asset that ceases to satisfy the Borrowing Base Criteria applicable to such Borrowing Base Asset as a result of an Excepted Judgment shall (i) no longer qualify as a Borrowing Base Asset and shall automatically cease to be a Borrowing Base Asset (and cease to be included in the Borrowing Base Amount) on the date such Excepted Judgment is entered (and the Borrower shall make any mandatory repayment required under Section 1.9(2)(A), if any, as a result of any such reduction of the Borrowing Base Amount as and when required under Section 1.9(2)(A)) and (ii) other than in the case of a Borrowing Base Unencumbered Asset, continue to constitute Collateral (together with any related pledges of Capital Stock) until released in accordance with and subject to the requirements of </w:t>
      </w:r>
      <w:r>
        <w:rPr>
          <w:rFonts w:ascii="Times New Roman" w:hAnsi="Times New Roman"/>
          <w:sz w:val="20"/>
          <w:u w:val="single"/>
        </w:rPr>
        <w:t>Section 10.12</w:t>
      </w:r>
      <w:r>
        <w:rPr>
          <w:rFonts w:ascii="Times New Roman" w:hAnsi="Times New Roman"/>
          <w:sz w:val="20"/>
        </w:rPr>
        <w:t xml:space="preserve">) shall be entered and be outstanding at any date against any of the Borrower Parties or any Consolidated Entities (other than a De Minimis Subsidiary) and all such judgments or decrees shall not have been vacated, discharged, stayed, satisfied or bonded pending appeal (or otherwise secured in a manner satisfactory to Administrative Agent in its reasonable judgment) within sixty (60) days from the entry thereof or in any event later than five days prior to the date of any proposed sale thereunder; or </w:t>
      </w:r>
    </w:p>
    <w:p>
      <w:pPr>
        <w:pStyle w:val="TextBody"/>
        <w:bidi w:val="0"/>
        <w:spacing w:before="240" w:after="0"/>
        <w:jc w:val="left"/>
        <w:rPr>
          <w:rFonts w:ascii="Times New Roman" w:hAnsi="Times New Roman"/>
          <w:sz w:val="20"/>
        </w:rPr>
      </w:pPr>
      <w:r>
        <w:rPr>
          <w:rFonts w:ascii="Times New Roman" w:hAnsi="Times New Roman"/>
          <w:sz w:val="20"/>
        </w:rPr>
        <w:t xml:space="preserve">9.10. MAC shall attempt to rescind or revoke the REIT Guaranty or a Subsidiary Guarantor attempts to rescind or revoke a Subsidiary Guaranty, with respect to future transactions or otherwise; or any material provision of any Loan Document, at any time after its execution and delivery and for any reason other than (i) as expressly permitted hereunder or thereunder, (ii) as a result of acts or omissions by the Administrative Agent or the Collateral Agent, or (iii) Payment in Full, ceases to be in full force and effect in all respects in order for the principal benefit thereunder to be realized; or any Borrower Party contests in writing the validity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enforceability of any provision of any Loan Document or the validity or priority of a Lien as required by the Security Documents on a material portion of the Collateral; or any Borrower Party denies in writing that it has any or further liability or obligation under any Loan Document (other than (i) as a result of Payment in Full, (ii) as a result of acts or omissions by the Administrative Agent or the Collateral Agent, or (iii) in accordance with its terms), or purports in writing to revoke or rescind any Loan Document (other than in accordance with its terms); or </w:t>
      </w:r>
    </w:p>
    <w:p>
      <w:pPr>
        <w:pStyle w:val="TextBody"/>
        <w:bidi w:val="0"/>
        <w:spacing w:before="240" w:after="0"/>
        <w:jc w:val="left"/>
        <w:rPr>
          <w:rFonts w:ascii="Times New Roman" w:hAnsi="Times New Roman"/>
          <w:sz w:val="20"/>
        </w:rPr>
      </w:pPr>
      <w:r>
        <w:rPr>
          <w:rFonts w:ascii="Times New Roman" w:hAnsi="Times New Roman"/>
          <w:sz w:val="20"/>
        </w:rPr>
        <w:t xml:space="preserve">9.11. MAC shall fail to maintain its status as a REIT; or </w:t>
      </w:r>
    </w:p>
    <w:p>
      <w:pPr>
        <w:pStyle w:val="TextBody"/>
        <w:bidi w:val="0"/>
        <w:spacing w:before="240" w:after="0"/>
        <w:jc w:val="left"/>
        <w:rPr>
          <w:rFonts w:ascii="Times New Roman" w:hAnsi="Times New Roman"/>
          <w:sz w:val="20"/>
        </w:rPr>
      </w:pPr>
      <w:r>
        <w:rPr>
          <w:rFonts w:ascii="Times New Roman" w:hAnsi="Times New Roman"/>
          <w:sz w:val="20"/>
        </w:rPr>
        <w:t xml:space="preserve">9.12. The Capital Stock of MAC is no longer listed on the New York Stock Exchange, NYSE American or Nasdaq Stock Market; or </w:t>
      </w:r>
    </w:p>
    <w:p>
      <w:pPr>
        <w:pStyle w:val="TextBody"/>
        <w:bidi w:val="0"/>
        <w:spacing w:before="240" w:after="0"/>
        <w:jc w:val="left"/>
        <w:rPr>
          <w:rFonts w:ascii="Times New Roman" w:hAnsi="Times New Roman"/>
          <w:sz w:val="20"/>
        </w:rPr>
      </w:pPr>
      <w:r>
        <w:rPr>
          <w:rFonts w:ascii="Times New Roman" w:hAnsi="Times New Roman"/>
          <w:sz w:val="20"/>
        </w:rPr>
        <w:t xml:space="preserve">9.13. Any Event of Default shall occur under any of the other Loan Documents; or </w:t>
      </w:r>
    </w:p>
    <w:p>
      <w:pPr>
        <w:pStyle w:val="TextBody"/>
        <w:bidi w:val="0"/>
        <w:spacing w:before="240" w:after="0"/>
        <w:jc w:val="left"/>
        <w:rPr>
          <w:rFonts w:ascii="Times New Roman" w:hAnsi="Times New Roman"/>
          <w:sz w:val="20"/>
        </w:rPr>
      </w:pPr>
      <w:r>
        <w:rPr>
          <w:rFonts w:ascii="Times New Roman" w:hAnsi="Times New Roman"/>
          <w:sz w:val="20"/>
        </w:rPr>
        <w:t xml:space="preserve">9.14. There shall occur a Change of Control; </w:t>
      </w:r>
    </w:p>
    <w:p>
      <w:pPr>
        <w:pStyle w:val="TextBody"/>
        <w:bidi w:val="0"/>
        <w:spacing w:before="240" w:after="0"/>
        <w:jc w:val="center"/>
        <w:rPr>
          <w:rFonts w:ascii="Times New Roman" w:hAnsi="Times New Roman"/>
          <w:sz w:val="20"/>
        </w:rPr>
      </w:pPr>
      <w:r>
        <w:rPr>
          <w:rFonts w:ascii="Times New Roman" w:hAnsi="Times New Roman"/>
          <w:sz w:val="20"/>
        </w:rPr>
        <w:t xml:space="preserve">THEN, </w:t>
      </w:r>
    </w:p>
    <w:p>
      <w:pPr>
        <w:pStyle w:val="TextBody"/>
        <w:bidi w:val="0"/>
        <w:spacing w:before="240" w:after="0"/>
        <w:jc w:val="left"/>
        <w:rPr>
          <w:rFonts w:ascii="Times New Roman" w:hAnsi="Times New Roman"/>
          <w:sz w:val="20"/>
        </w:rPr>
      </w:pPr>
      <w:r>
        <w:rPr>
          <w:rFonts w:ascii="Times New Roman" w:hAnsi="Times New Roman"/>
          <w:sz w:val="20"/>
        </w:rPr>
        <w:t xml:space="preserve">automatically upon the occurrence of an Event of Default under </w:t>
      </w:r>
      <w:r>
        <w:rPr>
          <w:rFonts w:ascii="Times New Roman" w:hAnsi="Times New Roman"/>
          <w:sz w:val="20"/>
          <w:u w:val="single"/>
        </w:rPr>
        <w:t>Section 9.7</w:t>
      </w:r>
      <w:r>
        <w:rPr>
          <w:rFonts w:ascii="Times New Roman" w:hAnsi="Times New Roman"/>
          <w:sz w:val="20"/>
        </w:rPr>
        <w:t xml:space="preserve"> above, and in all other cases at the option of the Administrative Agent or at the request or with the consent of the Required Lenders: (i) the Commitments shall terminate; (ii) the Administrative Agent and the Collateral Agent may exercise, on behalf of the Lenders and the other Secured Parties, all rights and remedies under the REIT Guaranty, the Subsidiary Guaranty, the Security Documents and the other Loan Documents; (iii) the outstanding principal balance of the Loans and interest accrued but unpaid thereon and all other Obligations shall become immediately due and payable, without demand upon or presentment to any of the Borrower Parties, which are expressly waived by the Borrower Parties; and (iv) the Administrative Agent, the Collateral Agent and the Secured Parties may immediately exercise all rights, powers and remedies available to them at law, in equity or otherwise, including, without limitation, under the Loan Documents, all of which rights, powers and remedies are cumulative and not exclusive. </w:t>
      </w:r>
    </w:p>
    <w:p>
      <w:pPr>
        <w:pStyle w:val="TextBody"/>
        <w:bidi w:val="0"/>
        <w:spacing w:before="240" w:after="0"/>
        <w:jc w:val="left"/>
        <w:rPr>
          <w:rFonts w:ascii="Times New Roman" w:hAnsi="Times New Roman"/>
          <w:sz w:val="20"/>
        </w:rPr>
      </w:pPr>
      <w:r>
        <w:rPr>
          <w:rFonts w:ascii="Times New Roman" w:hAnsi="Times New Roman"/>
          <w:sz w:val="20"/>
        </w:rPr>
        <w:t xml:space="preserve">Subject to any applicable intercreditor or subordination agreement, following the occurrence of an Event of Default and acceleration of the Obligations, all amounts received by the Administrative Agent and/or the Collateral Agent on account of the Secured Obligations shall be promptly disbursed by the Administrative Agent or Collateral Agent, as applicable,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first</w:t>
      </w:r>
      <w:r>
        <w:rPr>
          <w:rFonts w:ascii="Times New Roman" w:hAnsi="Times New Roman"/>
          <w:sz w:val="20"/>
        </w:rPr>
        <w:t xml:space="preserve">, to the payment of (x) any and all sums advanced by the Collateral Agent in order to preserve the Collateral (or any other security or collateral for the Secured Obligations) or preserve its security interest in the Collateral (or any other security or collateral for the Secured Obligations); and (y) the reasonable expenses incurred by the Collateral Agent in connection with the retaking, holding, preparing for sale or lease, selling or otherwise disposing or realizing on the Collateral or any other collateral or security for the Secured Obligations, or in connection with the exercise by the Collateral Agent of any of its rights or remedies hereunder or under any other Loan Document, together with attorneys’ fees and court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second</w:t>
      </w:r>
      <w:r>
        <w:rPr>
          <w:rFonts w:ascii="Times New Roman" w:hAnsi="Times New Roman"/>
          <w:sz w:val="20"/>
        </w:rPr>
        <w:t xml:space="preserve">, to the extent proceeds remain after the application pursuant to the preceding clause (1), to the payment of (x) any and all sums advanced by the Administrative Agent in order to preserve the Collateral (or any other security or collateral for the Secured Obligations) or preserve its security interest in the Collateral (or any other security or collateral for the Secured Obligations) and (y) the reasonable expenses incurred by the Administrative Agent in connection with the retaking, holding, preparing for sale or lease, selling or otherwise disposing or realizing on the Collateral or any other collateral or security for the Secured Obligations, or in connection with the exercise by the Administrative Agent of any of its rights or remedies hereunder or under any other Loan Document, together with attorneys’ fees and court costs;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third</w:t>
      </w:r>
      <w:r>
        <w:rPr>
          <w:rFonts w:ascii="Times New Roman" w:hAnsi="Times New Roman"/>
          <w:sz w:val="20"/>
        </w:rPr>
        <w:t xml:space="preserve">, to the extent proceeds remain after the application pursuant to the preceding clauses (1) and (2), to the payment of out-of-pocket third party expenses incurred by the Administrative Agent and the Collateral Agent in the performance of their duties and the enforcement of the rights of the Lenders and the other Secured Parties under the Loan Documents, including, without limitation, all costs and expenses of collection, “workout”, attorneys’ fees, court costs and other amounts payable as provided in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fourth</w:t>
      </w:r>
      <w:r>
        <w:rPr>
          <w:rFonts w:ascii="Times New Roman" w:hAnsi="Times New Roman"/>
          <w:sz w:val="20"/>
        </w:rPr>
        <w:t>, to the extent proceeds remain after the application pursuant to the preceding clauses</w:t>
      </w:r>
      <w:r>
        <w:rPr>
          <w:rFonts w:ascii="Times New Roman" w:hAnsi="Times New Roman"/>
          <w:sz w:val="20"/>
          <w:u w:val="single"/>
        </w:rPr>
        <w:t xml:space="preserve">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and </w:t>
      </w:r>
      <w:r>
        <w:rPr>
          <w:rFonts w:ascii="Times New Roman" w:hAnsi="Times New Roman"/>
          <w:sz w:val="20"/>
          <w:u w:val="single"/>
        </w:rPr>
        <w:t>(3)</w:t>
      </w:r>
      <w:r>
        <w:rPr>
          <w:rFonts w:ascii="Times New Roman" w:hAnsi="Times New Roman"/>
          <w:sz w:val="20"/>
        </w:rPr>
        <w:t xml:space="preserve">, to the payment of any other fees payable to the Collateral Agent, the Administrative Agent and/or the Issuing Lenders in accordance with this Agreement or under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fifth</w:t>
      </w:r>
      <w:r>
        <w:rPr>
          <w:rFonts w:ascii="Times New Roman" w:hAnsi="Times New Roman"/>
          <w:sz w:val="20"/>
        </w:rPr>
        <w:t xml:space="preserve">, to the extent proceeds remain after the application pursuant to the preceding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(4)</w:t>
      </w:r>
      <w:r>
        <w:rPr>
          <w:rFonts w:ascii="Times New Roman" w:hAnsi="Times New Roman"/>
          <w:sz w:val="20"/>
        </w:rPr>
        <w:t xml:space="preserve"> inclusive, to the applicable Secured Parties in payment of all outstanding accrued and unpaid interest and fees with respect to the Loans and the Letters of Credit and all fees, premiums and scheduled periodic payments due under Secured Treasury Services Agreements and Secured Hedge Agreements, ratably among the Secured Parties in proportion to the respective amounts described in this </w:t>
      </w:r>
      <w:r>
        <w:rPr>
          <w:rFonts w:ascii="Times New Roman" w:hAnsi="Times New Roman"/>
          <w:sz w:val="20"/>
          <w:u w:val="single"/>
        </w:rPr>
        <w:t>clause (5)</w:t>
      </w:r>
      <w:r>
        <w:rPr>
          <w:rFonts w:ascii="Times New Roman" w:hAnsi="Times New Roman"/>
          <w:sz w:val="20"/>
        </w:rPr>
        <w:t xml:space="preserve"> held by them;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sixth</w:t>
      </w:r>
      <w:r>
        <w:rPr>
          <w:rFonts w:ascii="Times New Roman" w:hAnsi="Times New Roman"/>
          <w:sz w:val="20"/>
        </w:rPr>
        <w:t xml:space="preserve">, to the extent proceeds remain after the application pursuant to the preceding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(5)</w:t>
      </w:r>
      <w:r>
        <w:rPr>
          <w:rFonts w:ascii="Times New Roman" w:hAnsi="Times New Roman"/>
          <w:sz w:val="20"/>
        </w:rPr>
        <w:t xml:space="preserve"> inclusive, to the applicable Secured Parties in payment of the outstanding principal amount of all Loans and unreimbursed LC Disbursements (and, in the case of undrawn Letters of Credit, payment of the amount that would be owing if the maximum amount under such Letter of Credit were drawn, which amount shall be held in accordance with the immediately following paragraph of this </w:t>
      </w:r>
      <w:r>
        <w:rPr>
          <w:rFonts w:ascii="Times New Roman" w:hAnsi="Times New Roman"/>
          <w:sz w:val="20"/>
          <w:u w:val="single"/>
        </w:rPr>
        <w:t>Article 9</w:t>
      </w:r>
      <w:r>
        <w:rPr>
          <w:rFonts w:ascii="Times New Roman" w:hAnsi="Times New Roman"/>
          <w:sz w:val="20"/>
        </w:rPr>
        <w:t xml:space="preserve">) and any breakage, termination or other payments under Secured Treasury Services Agreements and Secured Hedge Agreements, ratably among the Secured Parties in proportion to the respective amounts described in this </w:t>
      </w:r>
      <w:r>
        <w:rPr>
          <w:rFonts w:ascii="Times New Roman" w:hAnsi="Times New Roman"/>
          <w:sz w:val="20"/>
          <w:u w:val="single"/>
        </w:rPr>
        <w:t>clause (6)</w:t>
      </w:r>
      <w:r>
        <w:rPr>
          <w:rFonts w:ascii="Times New Roman" w:hAnsi="Times New Roman"/>
          <w:sz w:val="20"/>
        </w:rPr>
        <w:t xml:space="preserve"> held by them;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seventh</w:t>
      </w:r>
      <w:r>
        <w:rPr>
          <w:rFonts w:ascii="Times New Roman" w:hAnsi="Times New Roman"/>
          <w:sz w:val="20"/>
        </w:rPr>
        <w:t xml:space="preserve">, to the extent proceeds remain after the application pursuant to the preceding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(6)</w:t>
      </w:r>
      <w:r>
        <w:rPr>
          <w:rFonts w:ascii="Times New Roman" w:hAnsi="Times New Roman"/>
          <w:sz w:val="20"/>
        </w:rPr>
        <w:t xml:space="preserve"> inclusive, to the payment of all other Secured Obligations of the Borrower Parties that are due and payable to the Administrative Agent, the Collateral Agent and the other Secured Parties on such date, ratably based upon the respective aggregate amounts of all such Secured Obligations owing to the Administrative Agent, the Collateral Agent and the other Secured Parties on such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Last</w:t>
      </w:r>
      <w:r>
        <w:rPr>
          <w:rFonts w:ascii="Times New Roman" w:hAnsi="Times New Roman"/>
          <w:sz w:val="20"/>
        </w:rPr>
        <w:t xml:space="preserve">, the balance, if any, after all of the Secured Obligations then due and payable have been paid in full, to the Borrower or as otherwise required by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If any Issuing Lender is to receive a distribution in accordance with the procedures set forth above in the immediately preceding paragraph on account of undrawn amounts with respect to Letters of Credit issued hereunder, such amounts shall be paid to the Collateral Agent as Cash Collateral, for the equal and ratable benefit of the Secured Parties, and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and, if no Secured Obligations remain outstanding, to the Borrower or as otherwise required by any applicable intercreditor or subordination agreement or Requirement of Law. Notwithstanding the foregoing, amounts received from any Guarantor that is not an “Eligible Contract Participant” (as defined in the Commodity Exchange Act) shall not be applied to its Secured Obligations that are Excluded Swap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order of priority set forth in this </w:t>
      </w:r>
      <w:r>
        <w:rPr>
          <w:rFonts w:ascii="Times New Roman" w:hAnsi="Times New Roman"/>
          <w:sz w:val="20"/>
          <w:u w:val="single"/>
        </w:rPr>
        <w:t>Article 9</w:t>
      </w:r>
      <w:r>
        <w:rPr>
          <w:rFonts w:ascii="Times New Roman" w:hAnsi="Times New Roman"/>
          <w:sz w:val="20"/>
        </w:rPr>
        <w:t xml:space="preserve"> and the related provisions of this Agreement are set forth solely to determine the rights and priorities of the Agents, the Lenders and the other Secured Parties as among themselves. </w:t>
      </w:r>
    </w:p>
    <w:p>
      <w:pPr>
        <w:pStyle w:val="TextBody"/>
        <w:bidi w:val="0"/>
        <w:spacing w:before="240" w:after="0"/>
        <w:jc w:val="left"/>
        <w:rPr>
          <w:rFonts w:ascii="Times New Roman" w:hAnsi="Times New Roman"/>
          <w:sz w:val="20"/>
        </w:rPr>
      </w:pPr>
      <w:r>
        <w:rPr>
          <w:rFonts w:ascii="Times New Roman" w:hAnsi="Times New Roman"/>
          <w:sz w:val="20"/>
        </w:rPr>
        <w:t>ARTICLE 10.</w:t>
      </w:r>
      <w:r>
        <w:rPr>
          <w:rFonts w:ascii="Times New Roman" w:hAnsi="Times New Roman"/>
          <w:sz w:val="20"/>
          <w:u w:val="single"/>
        </w:rPr>
        <w:t xml:space="preserve"> The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Appointment</w:t>
      </w:r>
      <w:r>
        <w:rPr>
          <w:rFonts w:ascii="Times New Roman" w:hAnsi="Times New Roman"/>
          <w:sz w:val="20"/>
        </w:rPr>
        <w:t xml:space="preserve">. Each of the Lenders and the Issuing Lenders hereby irrevocably designates and appoints the Administrative Agent and the Collateral Agent as the agents of such Lender under the Loan Documents and each such Lender hereby irrevocably authorizes the Administrative Agent and the Collateral Agent, as the agents for such Lender, to take such action on its behalf under the provisions of the Loan Documents and to exercise such powers and perform such duties as are expressly delegated to each such Agent by the terms of the Loan Documents, together with such other powers as are reasonably incidental thereto. Notwithstanding any provision to the contrary elsewhere in the Loan Documents, neither the Administrative Agent nor the Collateral Agent shall have any duties or responsibilities, except those expressly set forth herein or therein, or any fiduciary relationship with any Lender, and no implied covenants, functions, responsibilities, duties, obligations or liabilities shall be read into the Loan Documents or otherwise exist against any of the Agents. Each Lender acknowledges and agrees that it shall be bound by all terms and conditions of the Pledge Agreement and the Guaranties.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Delegation of Duties</w:t>
      </w:r>
      <w:r>
        <w:rPr>
          <w:rFonts w:ascii="Times New Roman" w:hAnsi="Times New Roman"/>
          <w:sz w:val="20"/>
        </w:rPr>
        <w:t xml:space="preserve">. The Administrative Agent and the Collateral Agent may execute any of their respective duties under the Loan Documents by or through agents or attorneys-in-fact and shall be entitled to advice of counsel concerning all matters pertaining to such duties. Neither the Administrative Agent nor the Collateral Agent shall be responsible for the negligence or misconduct of any agents or attorneys-in-fact selected by it with reasonable 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Exculpatory Provisions</w:t>
      </w:r>
      <w:r>
        <w:rPr>
          <w:rFonts w:ascii="Times New Roman" w:hAnsi="Times New Roman"/>
          <w:sz w:val="20"/>
        </w:rPr>
        <w:t xml:space="preserve">. None of the Administrative Agent, the Collateral Agent, the other Agents, nor any of their respective officers, directors, employees, agents, attorneys-in-fact or affiliates shall be (1) liable for any action lawfully taken or omitted to be taken by it or such Person under or in connection with the Loan Documents (except for its or such Person’s own gross negligence or willful misconduct), or (2) responsible in any manner to any of the Lenders or the Issuing Lenders for any recitals, statements, representations or warranties made by the Borrower Parties or any officer thereof contained in the Loan Documents or in any certificate, report, statement or other document referred to or provided for in, or received by the Administrative Agent or the Collateral Agent under or in connection with the Loan Documents or for the value, validity, effectiveness, genuineness, enforceability or sufficiency of the Loan Documents or for any failure of the Borrower Parties to perform their obligations thereunder. The Administrative Agent and all other Agents shall not be under any obligation to any Lender or any Issuing Lender to ascertain or to inquire as to the observance or performance of any of the agreements contained in, or conditions of, the Loan Documents or to inspect the properties, books or records of the Borrower Parties.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Reliance by the Agents</w:t>
      </w:r>
      <w:r>
        <w:rPr>
          <w:rFonts w:ascii="Times New Roman" w:hAnsi="Times New Roman"/>
          <w:sz w:val="20"/>
        </w:rPr>
        <w:t xml:space="preserve">. Each of the Agents shall be entitled to rely, and shall be fully protected in relying, upon any note, writing, resolution, notice, consent, certification, affidavit, letter, cablegram, telegram, telecopy, telex or teletype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such Agent. As to the Lenders and the Issuing Lenders: (1) the Administrative Agent shall be fully justified in failing or refusing to take any action under the Loan Documents unless it shall first receive such advice or concurrence of one hundred percent (100%) of the Lenders and the Issuing Lenders (or, if a provision of this Agreement expressly provides that a lesser number of the Lenders may direct the action of the Administrative Agent, such lesser number of Lenders) or it shall first be indemnified to its satisfaction by the Lenders and the Issuing Lenders ratably in accordance with their respective Applicable Percentages against any and all liability and expense which may be incurred by it by reason of taking or continuing to take any action (except for liabilities and expenses resulting from the Administrative Agent’s gross negligence or willful misconduct (as determined by a final and non-appealable judgment of a court of competent jurisdiction)); (2) the Administrative Agent shall in all cases be fully protected in acting, or in refraining from acting, under the Loan Documents in accordance with a request of one hundred percent (100%) of the Lenders (or, if a provision of this Agreement expressly provides that the Administrative Agent shall be required to act or refrain from acting at the request of a lesser number of the Lenders, such lesser number of Lenders), and such request and any action taken or failure to act pursuant thereto shall be binding upon all the Lenders; (3) the Collateral Agent shall be fully justified in failing or refusing to take any action under the Loan Documents unless it shall first receive such advice or concurrence of the Required Lenders (or, if a provision of any Loan Document expressly provides that a greater percentage of Lenders are required to direct the action of the Collateral Agent, such greater number of Lenders) or it shall first be indemnified to its satisfaction by the Lenders against any and all liability and expense which may be incurred by it by reason of taking or continuing to take any action (except for liabilities and expenses resulting from the Collateral Agent’s gross negligence or willful misconduct (as determined by a final and non-appealable judgment of a court of competent jurisdiction)), and (4) the Collateral Agent shall in all cases be fully protected in acting, or in refraining from acting, under the Loan Documents in accordance with a request of the Required Lenders (or, if a provision of any Loan Document expressly provides that a greater percentage of Lenders are required to direct the action of the Collateral Agent, such greater number of Lenders), and such request and any action taken or failure to act pursuant thereto shall be binding upon all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Notice of Default</w:t>
      </w:r>
      <w:r>
        <w:rPr>
          <w:rFonts w:ascii="Times New Roman" w:hAnsi="Times New Roman"/>
          <w:sz w:val="20"/>
        </w:rPr>
        <w:t xml:space="preserve">. Neither the Administrative Agent nor the Collateral Agent shall be deemed to have knowledge or notice of the occurrence of any Potential Default or Event of Default hereunder unless the Administrative Agent or the Collateral Agent, as the case may be, has received notice from a Lender or the Borrower referring to the Loan Documents, describing such Potential Default or Event of Default and stating that such notice is a “notice of default.” In the event that the Administrative Agent receives such a notice and a Potential Default has occurred, the Administrative Agent shall promptly give notice thereof to the Collateral Agent and the Lenders. The Administrative Agent shall take such action with respect to such Potential Default or Event of Default as shall be reasonably directed by the Required Lenders; </w:t>
      </w:r>
      <w:r>
        <w:rPr>
          <w:rFonts w:ascii="Times New Roman" w:hAnsi="Times New Roman"/>
          <w:sz w:val="20"/>
          <w:u w:val="single"/>
        </w:rPr>
        <w:t>provided</w:t>
      </w:r>
      <w:r>
        <w:rPr>
          <w:rFonts w:ascii="Times New Roman" w:hAnsi="Times New Roman"/>
          <w:sz w:val="20"/>
        </w:rPr>
        <w:t xml:space="preserve"> that, unless and until the Administrative Agent shall have received such directions, the Administrative Agent may (but shall not be obligated to) take such action, or refrain from taking such action, with respect to such Potential Default or Event of Default as it shall deem advisable in the best interest of the Lenders (except to the extent that this Agreement or the other Loan Documents expressly require that such action be taken or not taken by the Administrative Agent with the consent or upon the authorization of the Required Lenders or such other group of Lenders, in which case such action will be taken or not taken as directed by the Required Lenders or such other group of Lenders). The Collateral Agent shall take such action with respect to such Potential Default or Event of Default as shall be reasonably directed by the Required Lenders; provided that, unless and until the Collateral Agent shall have received such directions, the Collateral Agent may (but shall not be obligated to) take such action, or refrain from taking such action, with respect to such Potential Default or Event of Default as it shall deem advisable in the best interest of the Lenders (except to the extent that this Agreement or the other Loan Documents expressly require that such action be taken or not taken by the Collateral Agent with the consent or upon the authorization of the Required Lenders, in which case such action will be taken or not taken as directed by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Non-Reliance on Agents and Other Lenders</w:t>
      </w:r>
      <w:r>
        <w:rPr>
          <w:rFonts w:ascii="Times New Roman" w:hAnsi="Times New Roman"/>
          <w:sz w:val="20"/>
        </w:rPr>
        <w:t xml:space="preserve">. Each of the Lenders and the Issuing Lenders expressly acknowledges that none of the Administrative Agent, the other Agents nor any of their respective officers, directors, employees, agents, attorneys-in-fact or affiliates has made any representations or warranties to it and that no act by the Administrative Agent or the other Agents hereinafter taken, including any review of the affairs of the Borrower Parties, shall be deemed to constitute any representation or warranty by the Administrative Agent or the other Agents to any Lender or any Issuing Lender. Each of the Lenders and the Issuing Lenders represents to the Administrative Agent and the other Agents that it has, independently and without reliance upon the Administrative Agent, the other Agents or any other Lender or any other Issuing Lender, and based on such documents and information as it has deemed appropriate, made its own appraisal of and investigation into the business, operations, property, financial and other condition and creditworthiness of the Borrower Parties and made its own decision to make its loans hereunder and enter into this Agreement. Each Lender and each Issuing Lender also represents that it will, independently and without reliance upon the Administrative Agent, the other Agents or any other Lender or any other Issuing Lender, and based on such documents and information as it shall deem appropriate at the time, continue to make its own credit analysis, appraisals and decisions in taking or not taking action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and to make such investigation as it deems necessary to inform itself as to the business, operations, property, financial and other condition and creditworthiness of the Borrower Parties. Except for notices, reports and other documents expressly required to be furnished to the Lenders or the Issuing Lenders by the Administrative Agent hereunder, the Administrative Agent, the other Agents shall not have any duty or responsibility to provide any Lender or any Issuing Lender with any credit or other information concerning the business, operations, property, financial and other condition or creditworthiness of the Borrower or other Borrower Parties which may come into the possession of the Administrative Agent or any of its officers, directors, employees, agents, attorneys-in-fact or affiliates.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Indemnification;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Lenders and the Issuing Lenders agree to indemnify the Administrative Agent and the other Agents in their respective capacity as such (to the extent not reimbursed by the Borrower and without limiting the obligation of the Borrower to do so), ratably according to their respective Applicable Percentages, from and against any and all liabilities, obligations, losses, damages, penalties, actions, judgments, suits, costs, expenses or disbursements of any kind whatsoever which may at any time (including without limitation at any time following the payment of the Obligations) be imposed on, incurred by or asserted against the Administrative Agent or the other Agents in any way relating to or arising out of the Loan Documents or any documents contemplated by or referred to herein or the transactions contemplated hereby or any action taken or omitted by the Administrative Agent or the other Agents under or in connection with any of the foregoing; provided that no Lender nor any Issuing Lender shall be liable for the payment of any portion of such liabilities, obligations, losses, damages, penalties, actions, judgments, suits, costs, expenses or disbursements resulting from the Administrative Agent’s or any other Agent’s gross negligence or willful misconduct (as determined by a final and non-appealable judgment of a court of competent jurisdiction), respectively. The provisions of this </w:t>
      </w:r>
      <w:r>
        <w:rPr>
          <w:rFonts w:ascii="Times New Roman" w:hAnsi="Times New Roman"/>
          <w:sz w:val="20"/>
          <w:u w:val="single"/>
        </w:rPr>
        <w:t>Section 10.7</w:t>
      </w:r>
      <w:r>
        <w:rPr>
          <w:rFonts w:ascii="Times New Roman" w:hAnsi="Times New Roman"/>
          <w:sz w:val="20"/>
        </w:rPr>
        <w:t xml:space="preserve"> shall survive Payment in Full, the Revolving Commitment Termination Date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If the Administrative Agent or the Collateral Agent incurs any reasonable costs or expenses (including, without limitation, those for legal services) after the date of this Agreement and with respect to any actual or proposed Modification or waiver of any term of the Loan Documents or restructuring or refinancing thereof or with any effort to enforce or protect Lenders’ or Issuing Lenders’ rights or interests with respect thereto (including any protective advances made in accordance with any Loan Document), or otherwise with respect to the performance of its role as Administrative Agent or Collateral Agent, as applicable, under this Agreement, each in accordance with the terms of this Agreement, then, if such costs are not reimbursed by or on behalf of Borrower, Lenders shall reimburse the Administrative Agent and/or the Collateral Agent, as applicable, for their respective Applicable Percentages of such costs promptly after request therefor. If the Administrative Agent or the Collateral Agent, as applicable, recovers any amounts for which it has previously been reimbursed by Lenders hereunder, the Administrative Agent or the Collateral Agent, as applicable, shall promptly distribute to Lenders their respective Applicable Percentages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Agents in Their Individual Capacity</w:t>
      </w:r>
      <w:r>
        <w:rPr>
          <w:rFonts w:ascii="Times New Roman" w:hAnsi="Times New Roman"/>
          <w:sz w:val="20"/>
        </w:rPr>
        <w:t xml:space="preserve">. The Administrative Agent, the other Agents and their affiliates may make loans to, accept deposits from and generally engage in any kind of business with any of the Borrower Parties or any of their respective Subsidiary Entities and Affiliates as though the Administrative Agent and the other Agents were not, respectively, the Administrative Agent, the Collateral Agent, a Co-Syndication Agent or another Agent hereunder. With respect to such loans made or renewed by them and any Note issued to them, the Administrative Agent and the other Agents shall have the same rights and powers under the Loan Documents as any Lender and may exercise the same as though it were not the Administrative Agent, the Collateral Agent, a Co-Syndication Agent or another Agent, respectively, and the terms “Lender” and “Lenders” shall include the Administrative Agent, the Collateral Agent, each Co-Syndication Agent and each other Agent in its individual capacity. </w:t>
      </w:r>
    </w:p>
    <w:p>
      <w:pPr>
        <w:pStyle w:val="TextBody"/>
        <w:bidi w:val="0"/>
        <w:spacing w:before="24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Successor Administrative Agent</w:t>
      </w:r>
      <w:r>
        <w:rPr>
          <w:rFonts w:ascii="Times New Roman" w:hAnsi="Times New Roman"/>
          <w:sz w:val="20"/>
        </w:rPr>
        <w:t xml:space="preserve">. The Administrative Agent may resign as Administrative Agent under the Loan Documents upon thirty (30) days’ notice to the Lenders. If the Administrative Agent shall resign, then the Required Lenders shall (with, so long as there shall not exist and be continuing an Event of Default, the consent of the Borrower, such consent not to be unreasonably withheld or delayed) appoint from among the Lenders a successor agent or, if the Required Lenders are unable to agree on the appointment of a successor agent, the Administrative Agent shall appoint a successor agent for the Lenders and the Issuing Lenders whereupon such successor agent shall succeed to the rights, powers and duties of the Administrative Agent, and the term “Administrative Agent” shall mean such successor agent effective upon its appointment, and the former Administrative Agent’s rights, powers and duties as Administrative Agent shall be terminated, without any other or further act or deed on the part of such former Administrative Agent or any of the parties to this Agreement or any of the Loan Documents or successors thereto. After any retiring Administrative Agent’s resignation hereunder as Administrative Agent, the provisions of the Loan Documents shall inure to its benefit as to any actions taken or omitted to be taken by it while it was Administrative Agent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Successor Collateral Agent</w:t>
      </w:r>
      <w:r>
        <w:rPr>
          <w:rFonts w:ascii="Times New Roman" w:hAnsi="Times New Roman"/>
          <w:sz w:val="20"/>
        </w:rPr>
        <w:t xml:space="preserve">. The Collateral Agent may resign as Collateral Agent under the Loan Documents upon thirty (30) days’ notice to the Lenders. If the Collateral Agent shall resign, then the Required Lenders shall (with, so long as there shall not exist and be continuing an Event of Default, the consent of the Borrower, such consent not to be unreasonably withheld or delayed) appoint a successor agent or, if such Required Lenders are unable to agree on the appointment of a successor agent, the Collateral Agent shall appoint a successor agent for the Lenders whereupon such successor agent shall succeed to the rights, powers and duties of the Collateral Agent, and the term “Collateral Agent” shall mean such successor agent effective upon its appointment, and the former Collateral Agent’s rights, powers and duties as Collateral Agent shall be terminated, without any other or further act or deed on the part of such former Collateral Agent or any of the parties to this Agreement or any of the Loan Documents or successors thereto. After any retiring Collateral Agent’s resignation hereunder as Collateral Agent, the provisions of the Loan Documents shall inure to its benefit as to any actions taken or omitted to be taken by it while it was Collateral Agent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Limitations on Agents’ Liability</w:t>
      </w:r>
      <w:r>
        <w:rPr>
          <w:rFonts w:ascii="Times New Roman" w:hAnsi="Times New Roman"/>
          <w:sz w:val="20"/>
        </w:rPr>
        <w:t xml:space="preserve">. None of the Co-Syndication Agents, the Co-Documentation Agents, or the Joint Lead Arrangers, in such capacities, shall have any right, power, obligation, liability, responsibility or duty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Collateral Matters and Releases; Mortgage Security Release Event; Designation of Non-Borrowing Base Assets; Protective Advances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Each Lender hereby authorizes each of the Administrative Agent and the Collateral Agent, without the necessity of any notice to or further consent from any Lender to take any action with respect to any Collateral or Loan Documents which may be necessary to perfect and maintain perfected the Liens upon the Collateral granted pursuant to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(2) The Lenders and other Secured Parties hereby authorize and direct, without the necessity of any notice to or further consent from any Lender or any other Secured Party: </w:t>
      </w:r>
    </w:p>
    <w:p>
      <w:pPr>
        <w:pStyle w:val="TextBody"/>
        <w:bidi w:val="0"/>
        <w:spacing w:before="120" w:after="0"/>
        <w:jc w:val="left"/>
        <w:rPr>
          <w:rFonts w:ascii="Times New Roman" w:hAnsi="Times New Roman"/>
          <w:sz w:val="20"/>
        </w:rPr>
      </w:pPr>
      <w:r>
        <w:rPr>
          <w:rFonts w:ascii="Times New Roman" w:hAnsi="Times New Roman"/>
          <w:sz w:val="20"/>
        </w:rPr>
        <w:t xml:space="preserve">(A) the Collateral Agent to release any Lien granted to or held by the Collateral Agent on any Collateral (i) upon Payment in Full, (ii) as otherwise expressly permitted by the terms of the applicable Loan Document, including (a) release of Liens on any Replaced Asset upon delivery by MAC of the applicable Release Request Certificate (and the satisfaction of all other Borrowing Base Asset Substitution Conditions in connection therewith; provided that no Agent shall be responsible for or have any liability in connection with determining whether or not such conditions are satisfied) (it being acknowledged and agreed that such a release is expressly permitted by this Agreement), (b) a release of Liens on Collateral subject to a Disposition permitted under </w:t>
      </w:r>
      <w:r>
        <w:rPr>
          <w:rFonts w:ascii="Times New Roman" w:hAnsi="Times New Roman"/>
          <w:sz w:val="20"/>
          <w:u w:val="single"/>
        </w:rPr>
        <w:t>Section 8.4(3)</w:t>
      </w:r>
      <w:r>
        <w:rPr>
          <w:rFonts w:ascii="Times New Roman" w:hAnsi="Times New Roman"/>
          <w:sz w:val="20"/>
        </w:rPr>
        <w:t xml:space="preserve"> upon the consummation of such Disposition (provided that no Agent shall be responsible for or have any liability in connection with determining whether or not the conditions set forth therein are satisfied), (c) a release of Liens on Collateral subject to a Financing or Joint Venture Transaction upon delivery of the applicable officer’s certificate described in clause (v) of the definition of “Financing or Joint Venture Transaction Release Conditions” (and the satisfaction of all other Financing or Joint Venture Transaction Release Conditions in connection therewith; provided that no Agent shall be responsible for or have any liability in connection with determining whether or not such conditions are satisfied) (it being acknowledged and agreed that such a release is expressly permitted by this Agreement) and (d) release of all Mortgages (with the release of such Mortgages resulting in the applicable Mortgaged Properties simultaneously and automatically ceasing to constitute Borrowing Base Mortgaged Property Assets (to the extent they did prior to the release of such Mortgages) and ceasing to be included in the Borrowing Base Amount as Borrowing Base Mortgaged Property Assets (to the extent they were included in the Borrowing Base Amount prior to the release of such Mortgages)) upon delivery of the officer’s certificate described in clause (iv) of the definition of “Mortgage Security Release Event” (and the satisfaction of all other conditions set forth in the definition of “Mortgage Security Release Event” in connection therewith; provided that no Agent shall be responsible for or have any liability in connection with determining whether or not such conditions are satisfied) (it being acknowledged and agreed that such a release is expressly permitted by this Agreement);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notwithstanding anything to the contrary herein, the occurrence of the Mortgage Security Release Event and the release of the Mortgages in connection therewith will not result in either (A) the release of any Capital Stock that is Collateral under the Loan Documents and such Capital Stock shall be included in the Borrowing Base as a </w:t>
      </w:r>
      <w:r>
        <w:rPr>
          <w:rFonts w:ascii="Times New Roman" w:hAnsi="Times New Roman"/>
          <w:sz w:val="20"/>
          <w:u w:val="single"/>
        </w:rPr>
        <w:t>Borrowing Base Unencumbered Equity Interest Asset</w:t>
      </w:r>
      <w:r>
        <w:rPr>
          <w:rFonts w:ascii="Times New Roman" w:hAnsi="Times New Roman"/>
          <w:sz w:val="20"/>
        </w:rPr>
        <w:t xml:space="preserve"> (unless such Capital Stock does not meet the Borrowing Base Criteria for a Borrowing Base Unencumbered Equity Interest Asset) or the termination of any pledge in respect thereof or (B) the release or termination of the unconditional guaranty of any owner of such Capital Stock, or (iii) if approved, authorized or ratified in writing by the Required Lenders (or such greater number of Lenders as this Agreement or any other Loan Document may expressly provide); and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and the Collateral Agent to release any Guarantor from its guarantee under the applicable Guaranty (i) upon Payment in Full, (ii) other than in the case of MAC, as expressly permitted by the terms of the applicable Loan Document, including (a) if all of the Collateral of such Subsidiary Guarantor is released in accordance with clause (A) above or (b) if such Subsidiary Guarantor ceases to be a Subsidiary of the Macerich Entities pursuant to a transaction that is permitted under the Loan Documents (it being acknowledged and agreed that such the releases contemplated by the foregoing clauses (a) and (b) are expressly permitted by this Agreement) or (iii) if approved, authorized or ratified in writing by the Required Lenders (or such greater number of Lenders as this Agreement or any other Loan Document may expressly provide). For the avoidance of doubt, upon any Guarantor’s release as described in the preceding sentence, such Person shall cease to be a Guarantor, Borrower Party, Borrowing Base Equity Interest Asset Owner, Borrowing Base Unencumbered Equity Interest Asset Owner, Additional Equity Interest Asset Owner, Property Owner, Property Owner Parent and/or Pledgor under this Agreement or any of the other Loan Documents and shall have no obligations hereunder or thereunder in such capacity (including any obligation to comply with covenants applicable solely to a Guarantor, Borrower Party, Borrowing Base Equity Interest Asset Owner, Borrowing Base Unencumbered Equity Interest Asset Owner, Additional Equity Interest Asset Owner, Property Owner, Property Owner Parent or Pledgor and not to other Macerich Entities). Upon request by the Collateral Agent or the Administrative Agent at any time, the Lenders will confirm in writing the Collateral Agent’s or the Administrative Agent’s, as applicable, authority to release particular types or items of Collateral or particular Guarantors pursuant to this </w:t>
      </w:r>
      <w:r>
        <w:rPr>
          <w:rFonts w:ascii="Times New Roman" w:hAnsi="Times New Roman"/>
          <w:sz w:val="20"/>
          <w:u w:val="single"/>
        </w:rPr>
        <w:t>Section 10.12</w:t>
      </w:r>
      <w:r>
        <w:rPr>
          <w:rFonts w:ascii="Times New Roman" w:hAnsi="Times New Roman"/>
          <w:sz w:val="20"/>
        </w:rPr>
        <w:t xml:space="preserve">. In each case as specified in this </w:t>
      </w:r>
      <w:r>
        <w:rPr>
          <w:rFonts w:ascii="Times New Roman" w:hAnsi="Times New Roman"/>
          <w:sz w:val="20"/>
          <w:u w:val="single"/>
        </w:rPr>
        <w:t>Section 10.12</w:t>
      </w:r>
      <w:r>
        <w:rPr>
          <w:rFonts w:ascii="Times New Roman" w:hAnsi="Times New Roman"/>
          <w:sz w:val="20"/>
        </w:rPr>
        <w:t xml:space="preserve">, each of the Administrative Agent and the Collateral Agent will (and each Lender and other Secured Party irrevocably authorizes each of the Administrative Agent and the Collateral Agent to), at the Borrower’s expense, execute and deliver to the applicable Borrower Party such documents as such Borrower Party may reasonably request to evidence any release of such item of Collateral from the security interest granted under the Security Documents or to evidence any release of such Guarantor from its obligations under the applicable Guaranty and as a Pledgor under the Pledge Agreement (and in connection with therewith, release as a Borrower Party, Borrowing Base Equity Interest Asset Owner, Borrowing Base Unencumbered Equity Interest Asset Owner, Additional Equity Interest Asset Owner, Property Owner and/or Property Owner Parent under the Loan Documents), as applicable, in each case in accordance with the terms of the Loan Documents and this </w:t>
      </w:r>
      <w:r>
        <w:rPr>
          <w:rFonts w:ascii="Times New Roman" w:hAnsi="Times New Roman"/>
          <w:sz w:val="20"/>
          <w:u w:val="single"/>
        </w:rPr>
        <w:t>Section 10.12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Any such release of guarantee obligations or other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any Borrower Party, or upon or as a result of the appointment of a receiver, intervenor or conservator of, or trustee or similar officer for, any Borrower Party or any substantial part of its property, or otherwise, all as though such payment had not been made. </w:t>
      </w:r>
    </w:p>
    <w:p>
      <w:pPr>
        <w:pStyle w:val="TextBody"/>
        <w:bidi w:val="0"/>
        <w:spacing w:before="240" w:after="0"/>
        <w:jc w:val="left"/>
        <w:rPr>
          <w:rFonts w:ascii="Times New Roman" w:hAnsi="Times New Roman"/>
          <w:sz w:val="20"/>
        </w:rPr>
      </w:pPr>
      <w:r>
        <w:rPr>
          <w:rFonts w:ascii="Times New Roman" w:hAnsi="Times New Roman"/>
          <w:sz w:val="20"/>
        </w:rPr>
        <w:t xml:space="preserve">(4) The Collateral Agent shall have no obligation whatsoever to any Secured Party or to any other Person to assure that the Collateral exists or is owned by the Borrower, any other Borrower Party or any other Subsidiary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Collateral Agent in this Article 10 or in any of the Loan Documents, it being understood and agreed that in respect of the Collateral, or any act, omission or event related thereto, the Collateral Agent may act in any manner it may deem appropriate, in its sole discretion, and that the Collateral Agent shall have no duty or liability whatsoever to the Lenders or the other Secured Parties, except to the extent resulting from its gross negligence or willful misconduct as determined by a court of competent jurisdiction in a final, non-appealable judgment. </w:t>
      </w:r>
    </w:p>
    <w:p>
      <w:pPr>
        <w:pStyle w:val="TextBody"/>
        <w:bidi w:val="0"/>
        <w:spacing w:before="240" w:after="0"/>
        <w:jc w:val="left"/>
        <w:rPr>
          <w:rFonts w:ascii="Times New Roman" w:hAnsi="Times New Roman"/>
          <w:sz w:val="20"/>
        </w:rPr>
      </w:pPr>
      <w:r>
        <w:rPr>
          <w:rFonts w:ascii="Times New Roman" w:hAnsi="Times New Roman"/>
          <w:sz w:val="20"/>
        </w:rPr>
        <w:t xml:space="preserve">(5) Each Lender and other Secured Party (a) agrees that it will be bound by and will take no actions contrary to the provisions of any applicable intercreditor or subordination agreements permitted under this Agreement and (b) authorizes and instructs the Administrative Agent and Collateral Agent to enter into any applicable intercreditor or subordination agreements permitted under this Agreement as Administrative Agent and Collateral Agent on behalf of such Lender or other Secured Party. In the event of any conflict or inconsistency between the provisions of any applicable intercreditor or subordination agreement permitted under this Agreement and this Agreement, the provisions of such intercreditor or subordination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(6) Without limiting the other provisions of the Loan Documents, the Administrative Agent and the Collateral Agent may make, and shall be reimbursed by the Lenders to the extent not reimbursed by the Borrower for, Protective Advances with respect to each Mortgaged Property in an aggregate amount per calendar year not to exceed the sum of (i) amounts expended to pay real estate Taxes, assessments and governmental charges or levies imposed upon such Mortgaged Property; (ii) amounts expended to pay insurance premiums for policies of insurance related to such Mortgaged Property; and (iii) $1,000,000. The Borrower agrees to pay on demand all Protective Advances. </w:t>
      </w:r>
    </w:p>
    <w:p>
      <w:pPr>
        <w:pStyle w:val="TextBody"/>
        <w:bidi w:val="0"/>
        <w:spacing w:before="240" w:after="0"/>
        <w:jc w:val="left"/>
        <w:rPr>
          <w:rFonts w:ascii="Times New Roman" w:hAnsi="Times New Roman"/>
          <w:sz w:val="20"/>
        </w:rPr>
      </w:pPr>
      <w:r>
        <w:rPr>
          <w:rFonts w:ascii="Times New Roman" w:hAnsi="Times New Roman"/>
          <w:sz w:val="20"/>
        </w:rPr>
        <w:t xml:space="preserve">(7) The Borrower may designate a Borrowing Base Unencumbered Asset that is subject to a Financing or Joint Venture Transaction described in clause (iii) of the definition thereof as a non-Borrowing Base Asset by delivering the applicable officer’s certificate described in clause (v) of the definition of “Financing or Joint Venture Transaction Release Conditions” (and the satisfaction of all other applicable Financing or Joint Venture Transaction Release Conditions in connection therewith; provided that no Agent shall be responsible for or have any liability in connection with determining whether or not such conditions are satisfied), and upon delivery of such certificate and satisfaction of such conditions, such Borrowing Base Unencumbered Asset shall no longer constitute a Borrowing Base Unencumbered Asset or a Borrowing Base Asset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Notwithstanding anything to the contrary contained herein or in any other Loan Document (i) neither the Administrative Agent nor the Collateral Agent shall be required to take any action under this </w:t>
      </w:r>
      <w:r>
        <w:rPr>
          <w:rFonts w:ascii="Times New Roman" w:hAnsi="Times New Roman"/>
          <w:sz w:val="20"/>
          <w:u w:val="single"/>
        </w:rPr>
        <w:t>Section 10.12</w:t>
      </w:r>
      <w:r>
        <w:rPr>
          <w:rFonts w:ascii="Times New Roman" w:hAnsi="Times New Roman"/>
          <w:sz w:val="20"/>
        </w:rPr>
        <w:t xml:space="preserve"> which, in such Agent’s opinion, would expose such Agent to personal liability or create any obligation or entail any consequence other than the release of Liens and guarantees without recourse or warranty and (ii) such release shall not in any manner discharge, affect or impair the Obligations or any Liens upon (or obligations of the Borrower or any other Borrower Party in respect of) all interests retained by the Borrower or any other Borrower Party. In the event of any sale or transfer of Collateral, or any foreclosure with respect to any of the Collateral, the Collateral Agent shall be authorized to deduct all of the expenses reasonably incurred by the Collateral Agent from the proceeds of any such sale, transfer or foreclosure. </w:t>
      </w:r>
    </w:p>
    <w:p>
      <w:pPr>
        <w:pStyle w:val="TextBody"/>
        <w:bidi w:val="0"/>
        <w:spacing w:before="24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Secured Treasury Services Agreements and Secured Hedge Agreements</w:t>
      </w:r>
      <w:r>
        <w:rPr>
          <w:rFonts w:ascii="Times New Roman" w:hAnsi="Times New Roman"/>
          <w:sz w:val="20"/>
        </w:rPr>
        <w:t xml:space="preserve">. Anything contained in any of the Loan Documents to the contrary notwithstanding, the Borrower Parties, the Agents and each Secured Party hereby agree that no Secured Party shall have any right individually to realize upon any of the Collateral or to enforce any Guaranty, it being understood and agreed that all powers, rights and remedies hereunder and under each Guaranty may be exercised solely by the Administrative Agent, on behalf of the Secured Parties, in accordance with the terms hereof and thereof and all powers, rights and remedies under the Security Documents may be exercised solely by the Collateral Agent, in each case, on behalf of the Secured Parties. No Specified Counterparty that obtains the benefits of the payment “waterfall” set forth in </w:t>
      </w:r>
      <w:r>
        <w:rPr>
          <w:rFonts w:ascii="Times New Roman" w:hAnsi="Times New Roman"/>
          <w:sz w:val="20"/>
          <w:u w:val="single"/>
        </w:rPr>
        <w:t>Article 9</w:t>
      </w:r>
      <w:r>
        <w:rPr>
          <w:rFonts w:ascii="Times New Roman" w:hAnsi="Times New Roman"/>
          <w:sz w:val="20"/>
        </w:rPr>
        <w:t xml:space="preserve">, any Guaranty or any Collateral by virtue of the provisions hereof or of any Guaranty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hAnsi="Times New Roman"/>
          <w:sz w:val="20"/>
          <w:u w:val="single"/>
        </w:rPr>
        <w:t>Article 10</w:t>
      </w:r>
      <w:r>
        <w:rPr>
          <w:rFonts w:ascii="Times New Roman" w:hAnsi="Times New Roman"/>
          <w:sz w:val="20"/>
        </w:rPr>
        <w:t xml:space="preserve"> to the contrary, the Administrative Agent shall not be required to verify the payment of, or that other satisfactory arrangements have been made with respect to, Secured Obligations arising under Secured Treasury Services Agreements and Secured Hedge Agreements unless the Administrative Agent has received written notice of such Secured Obligations, together with such supporting documentation as the Administrative Agent may request, from the applicable Specified Counterparty. The Specified Counterparties hereby authorize the Administrative Agent to enter into any intercreditor or subordination agreement permitted under this Agreement and any amendment, modification, replacement, extension, supplement or joinder with respect thereto, and any such intercreditor agreement is binding upon the Specified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Administrative Agent May File Proofs of Claim</w:t>
      </w:r>
      <w:r>
        <w:rPr>
          <w:rFonts w:ascii="Times New Roman" w:hAnsi="Times New Roman"/>
          <w:sz w:val="20"/>
        </w:rPr>
        <w:t xml:space="preserve">. In case of the pendency of any proceeding under the Bankruptcy Code or any other judicial proceeding relative to any Borrower Party, the Administrative Agent (irrespective of whether any Credit Exposure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Lenders, the Collateral Agent, the Administrative Agent and the other Secured Parties (including any claim for the reasonable compensation, expenses, disbursements and advances of the Secured Parties and their respective agents and counsel and all other amounts due the Secured Parties)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(2)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10.15.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If the Administrative Agent notifies a Lender, Issuing Lender or other Secured Party, or any Person who has received funds on behalf of a Lender, Issuing Lender or other Secured Party (any such Lender, Issuing Lender, other Secured Party or other recipient (and each of their respective successors and assigns),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(whether or not after receipt of any notice under the immediately succeeding </w:t>
      </w:r>
      <w:r>
        <w:rPr>
          <w:rFonts w:ascii="Times New Roman" w:hAnsi="Times New Roman"/>
          <w:sz w:val="20"/>
          <w:u w:val="single"/>
        </w:rPr>
        <w:t>clause (2)</w:t>
      </w:r>
      <w:r>
        <w:rPr>
          <w:rFonts w:ascii="Times New Roman" w:hAnsi="Times New Roman"/>
          <w:sz w:val="20"/>
        </w:rPr>
        <w:t>) that any funds (as set forth in such notice from the Administrative Agent) received by such Payment Recipient from the Administrative Agent or any of its Affiliates were erroneously transmitted to, or otherwise erroneously or mistakenly received by, such Payment Recipient (whether or not known to such Lender, Issuing Lender, other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and demands the return of such Erroneous Payment (or a portion thereof), such Erroneous Payment shall at all times remain the property of the Administrative Agent pending its return or repayment as contemplated below in this Section 10.15 and held in trust for the benefit of the Administrative Agent, and such Lender, Issuing Lender or other Secured Party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sz w:val="20"/>
          <w:u w:val="single"/>
        </w:rPr>
        <w:t>clause (1)</w:t>
      </w:r>
      <w:r>
        <w:rPr>
          <w:rFonts w:ascii="Times New Roman" w:hAnsi="Times New Roman"/>
          <w:sz w:val="20"/>
        </w:rPr>
        <w:t xml:space="preserve">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Without limiting the immediately preceding </w:t>
      </w:r>
      <w:r>
        <w:rPr>
          <w:rFonts w:ascii="Times New Roman" w:hAnsi="Times New Roman"/>
          <w:sz w:val="20"/>
          <w:u w:val="single"/>
        </w:rPr>
        <w:t>clause (1)</w:t>
      </w:r>
      <w:r>
        <w:rPr>
          <w:rFonts w:ascii="Times New Roman" w:hAnsi="Times New Roman"/>
          <w:sz w:val="20"/>
        </w:rPr>
        <w:t xml:space="preserve">, each Lender, Issuing Lender or other Secured Party, or any Person who has received funds on behalf of a Lender, Issuing Lender or other Secured Party (and each of their respective successors and assigns),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other Secured Party, or other such recipient, otherwise becomes aware was transmitted, or received, in error or by mistake (in whole or in part) in each case: </w:t>
      </w:r>
    </w:p>
    <w:p>
      <w:pPr>
        <w:pStyle w:val="TextBody"/>
        <w:bidi w:val="0"/>
        <w:spacing w:before="120" w:after="0"/>
        <w:jc w:val="left"/>
        <w:rPr>
          <w:rFonts w:ascii="Times New Roman" w:hAnsi="Times New Roman"/>
          <w:sz w:val="20"/>
        </w:rPr>
      </w:pPr>
      <w:r>
        <w:rPr>
          <w:rFonts w:ascii="Times New Roman" w:hAnsi="Times New Roman"/>
          <w:sz w:val="20"/>
        </w:rPr>
        <w:t xml:space="preserve">(A) it acknowledges and agrees that (I)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an error and mistake shall be presumed to have been made (absent written confirmation from the Administrative Agent to the contrary) or (II) an error and mistake has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p>
      <w:pPr>
        <w:pStyle w:val="TextBody"/>
        <w:bidi w:val="0"/>
        <w:spacing w:before="240" w:after="0"/>
        <w:jc w:val="left"/>
        <w:rPr>
          <w:rFonts w:ascii="Times New Roman" w:hAnsi="Times New Roman"/>
          <w:sz w:val="20"/>
        </w:rPr>
      </w:pPr>
      <w:r>
        <w:rPr>
          <w:rFonts w:ascii="Times New Roman" w:hAnsi="Times New Roman"/>
          <w:sz w:val="20"/>
        </w:rPr>
        <w:t xml:space="preserve">(B) such Lender, Issuing Lender or other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10.15(2)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w:t>
      </w:r>
      <w:r>
        <w:rPr>
          <w:rFonts w:ascii="Times New Roman" w:hAnsi="Times New Roman"/>
          <w:sz w:val="20"/>
          <w:u w:val="single"/>
        </w:rPr>
        <w:t>Section 10.15(2)</w:t>
      </w:r>
      <w:r>
        <w:rPr>
          <w:rFonts w:ascii="Times New Roman" w:hAnsi="Times New Roman"/>
          <w:sz w:val="20"/>
        </w:rPr>
        <w:t xml:space="preserve"> shall not have any effect on a Payment Recipient’s obligations pursuant to </w:t>
      </w:r>
      <w:r>
        <w:rPr>
          <w:rFonts w:ascii="Times New Roman" w:hAnsi="Times New Roman"/>
          <w:sz w:val="20"/>
          <w:u w:val="single"/>
        </w:rPr>
        <w:t>Section 10.15(1)</w:t>
      </w:r>
      <w:r>
        <w:rPr>
          <w:rFonts w:ascii="Times New Roman" w:hAnsi="Times New Roman"/>
          <w:sz w:val="20"/>
        </w:rPr>
        <w:t xml:space="preserve"> or on whether or not an Erroneous Payment has been made. </w:t>
      </w:r>
    </w:p>
    <w:p>
      <w:pPr>
        <w:pStyle w:val="TextBody"/>
        <w:bidi w:val="0"/>
        <w:spacing w:before="240" w:after="0"/>
        <w:jc w:val="left"/>
        <w:rPr>
          <w:rFonts w:ascii="Times New Roman" w:hAnsi="Times New Roman"/>
          <w:sz w:val="20"/>
        </w:rPr>
      </w:pPr>
      <w:r>
        <w:rPr>
          <w:rFonts w:ascii="Times New Roman" w:hAnsi="Times New Roman"/>
          <w:sz w:val="20"/>
        </w:rPr>
        <w:t xml:space="preserve">(3) Each Lender, Issuing Lender or other Secured Party hereby authorizes the Administrative Agent to set off, net and apply any and all amounts at any time owing to such Lender, Issuing Lender or other Secured Party under any Loan Document, or otherwise payable or distributable by the Administrative Agent to such Lender, Issuing Lender or other Secured Party under any Loan Document with respect to any payment of principal, interest, fees or other amounts, against any amount that the Administrative Agent has demanded to be returned under the immediately preceding </w:t>
      </w:r>
      <w:r>
        <w:rPr>
          <w:rFonts w:ascii="Times New Roman" w:hAnsi="Times New Roman"/>
          <w:sz w:val="20"/>
          <w:u w:val="single"/>
        </w:rPr>
        <w:t>clause (1)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In the event that an Erroneous Payment (or portion thereof) is not recovered by the Administrative Agent for any reason, after demand therefor in accordance with the immediately preceding </w:t>
      </w:r>
      <w:r>
        <w:rPr>
          <w:rFonts w:ascii="Times New Roman" w:hAnsi="Times New Roman"/>
          <w:sz w:val="20"/>
          <w:u w:val="single"/>
        </w:rPr>
        <w:t>clause (1)</w:t>
      </w:r>
      <w:r>
        <w:rPr>
          <w:rFonts w:ascii="Times New Roman" w:hAnsi="Times New Roman"/>
          <w:sz w:val="20"/>
        </w:rPr>
        <w:t>,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sz w:val="20"/>
          <w:u w:val="single"/>
        </w:rPr>
        <w:t>Erroneous Payment Return Deficiency</w:t>
      </w:r>
      <w:r>
        <w:rPr>
          <w:rFonts w:ascii="Times New Roman" w:hAnsi="Times New Roman"/>
          <w:sz w:val="20"/>
        </w:rPr>
        <w:t>”), upon the Administrative Agent’s notice to such Lender at any time (with the consideration therefor being acknowledged by the parties hereto), (i) such Lender (the “</w:t>
      </w:r>
      <w:r>
        <w:rPr>
          <w:rFonts w:ascii="Times New Roman" w:hAnsi="Times New Roman"/>
          <w:sz w:val="20"/>
          <w:u w:val="single"/>
        </w:rPr>
        <w:t>Erroneous Payment Assigning Lender</w:t>
      </w:r>
      <w:r>
        <w:rPr>
          <w:rFonts w:ascii="Times New Roman" w:hAnsi="Times New Roman"/>
          <w:sz w:val="20"/>
        </w:rPr>
        <w:t>”) shall be deemed to have assigned its Loans (but not its Commitments) of the relevant class with respect to which such Erroneous Payment was made (the “</w:t>
      </w:r>
      <w:r>
        <w:rPr>
          <w:rFonts w:ascii="Times New Roman" w:hAnsi="Times New Roman"/>
          <w:sz w:val="20"/>
          <w:u w:val="single"/>
        </w:rPr>
        <w:t>Erroneous Payment Impacted Class</w:t>
      </w:r>
      <w:r>
        <w:rPr>
          <w:rFonts w:ascii="Times New Roman" w:hAnsi="Times New Roman"/>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sz w:val="20"/>
          <w:u w:val="single"/>
        </w:rPr>
        <w:t>Erroneous Payment Deficiency Assignment</w:t>
      </w:r>
      <w:r>
        <w:rPr>
          <w:rFonts w:ascii="Times New Roman" w:hAnsi="Times New Roman"/>
          <w:sz w:val="20"/>
        </w:rPr>
        <w:t xml:space="preserve">”) (on a cashless basis and calculated at par plus any accrued and unpaid interest (with the assignment fee to be waived by the Administrative Agent in such instance)), and is hereby (together with the Borrower and, to the extent such Person’s consent would otherwise be required hereunder, each Issuing Lender) deemed to execute and deliver an Assignment and Acceptance Agreement (or, to the extent applicable, an agreement incorporating an Assignment and Acceptance Agreement by reference pursuant to an electronic platform approved by the Administrative Agent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(ii) the Administrative Agent as the assignee Lender shall be deemed to have acquired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each Issuing Lender and the Borrower shall each be deemed to have waived any consents required under this Agreement to any such Erroneous Payment Deficiency Assignment, and (v) the Administrative Agent will reflect in the Register its ownership interest in the Loans subject to the Erroneous Payment Deficiency Assignment. </w:t>
      </w:r>
    </w:p>
    <w:p>
      <w:pPr>
        <w:pStyle w:val="TextBody"/>
        <w:bidi w:val="0"/>
        <w:spacing w:before="240" w:after="0"/>
        <w:jc w:val="left"/>
        <w:rPr>
          <w:rFonts w:ascii="Times New Roman" w:hAnsi="Times New Roman"/>
          <w:sz w:val="20"/>
        </w:rPr>
      </w:pPr>
      <w:r>
        <w:rPr>
          <w:rFonts w:ascii="Times New Roman" w:hAnsi="Times New Roman"/>
          <w:sz w:val="20"/>
        </w:rPr>
        <w:t xml:space="preserve">(5) Subject to </w:t>
      </w:r>
      <w:r>
        <w:rPr>
          <w:rFonts w:ascii="Times New Roman" w:hAnsi="Times New Roman"/>
          <w:sz w:val="20"/>
          <w:u w:val="single"/>
        </w:rPr>
        <w:t>Section 11.8</w:t>
      </w:r>
      <w:r>
        <w:rPr>
          <w:rFonts w:ascii="Times New Roman" w:hAnsi="Times New Roman"/>
          <w:sz w:val="20"/>
        </w:rPr>
        <w:t xml:space="preserve"> (but excluding, in all events, any assignment consent or approval requirements other than with respect to a Disqualified Institution),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Lender or other Secured Party, to the rights and interests of such Lender, Issuing Lender or other Secured Party, as the case may be) under the Loan Documents with respect to such amount (the “</w:t>
      </w:r>
      <w:r>
        <w:rPr>
          <w:rFonts w:ascii="Times New Roman" w:hAnsi="Times New Roman"/>
          <w:sz w:val="20"/>
          <w:u w:val="single"/>
        </w:rPr>
        <w:t>Erroneous Payment Subrogation Rights</w:t>
      </w:r>
      <w:r>
        <w:rPr>
          <w:rFonts w:ascii="Times New Roman" w:hAnsi="Times New Roman"/>
          <w:sz w:val="20"/>
        </w:rPr>
        <w:t xml:space="preserve">”) (provided that the Borrower Parties’ Secured Obligations under the Loan Documents in respect of the Erroneous Payment Subrogation Rights shall not be duplicative of such Secured Obligations in respect of Loans that have been assigned to the Administrative Agent under an Erroneous Payment Deficiency Assignment) and (y) an Erroneous Payment shall not pay, prepay, repay, discharge or otherwise satisfy any Secured Obligations owed by the Borrower or any other Borrower Party; provided that this </w:t>
      </w:r>
      <w:r>
        <w:rPr>
          <w:rFonts w:ascii="Times New Roman" w:hAnsi="Times New Roman"/>
          <w:sz w:val="20"/>
          <w:u w:val="single"/>
        </w:rPr>
        <w:t>Section 10.15</w:t>
      </w:r>
      <w:r>
        <w:rPr>
          <w:rFonts w:ascii="Times New Roman" w:hAnsi="Times New Roman"/>
          <w:sz w:val="20"/>
        </w:rPr>
        <w:t xml:space="preserve"> shall not be interpreted to increase (or accelerate the due date for), or have the effect of increasing (or accelerating the due date for), the Secured Obligations of the Borrower relative to the amount (and/or timing for payment) of the Secured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or any other Borrower Party for the purpose of making a payment on the Secured Obligations. </w:t>
      </w:r>
    </w:p>
    <w:p>
      <w:pPr>
        <w:pStyle w:val="TextBody"/>
        <w:bidi w:val="0"/>
        <w:spacing w:before="240" w:after="0"/>
        <w:jc w:val="left"/>
        <w:rPr>
          <w:rFonts w:ascii="Times New Roman" w:hAnsi="Times New Roman"/>
          <w:sz w:val="20"/>
        </w:rPr>
      </w:pPr>
      <w:r>
        <w:rPr>
          <w:rFonts w:ascii="Times New Roman" w:hAnsi="Times New Roman"/>
          <w:sz w:val="20"/>
        </w:rPr>
        <w:t>(7) In the event that a Revolving Loan is assigned pursuant to clause (4) above, then (i) for purposes of determining “Required Lenders” or any other provision hereof specifying the number or percentage of Lenders required to waive, amend or modify any rights hereunder or make any determination or grant any consent hereunder, (x) the unused Revolving Commitment of the applicable class of an Erroneous Payment Assigning Lender shall be deemed to be reduced by the Erroneous Payment Assigned Amount (as defined below) of such Erroneous Payment Assigning Lender and (y) the Erroneous Payment Assigned Amount held by the Administrative Agent shall be included as Revolving Loans of the applicable class in any determination under such defined terms or provisions, (ii) the amount of the Unused Line Fee payable to any Lender shall not be increased as a result of such assignment, (iii) the amount available to be borrowed by the Borrower from the Erroneous Payment Assigning Lender in respect of the affected class of Revolving Commitments shall not be increased as a result of such assignment, (iv) to the extent appropriate and relating to the determination of the proper recipient of any payment attributable to the applicable Erroneous Payment Assigned Amount, such Erroneous Payment Assigned Amount shall be treated as a part of the Revolving Credit Exposure of the Administrative Agent with respect to the affected class and (v) otherwise, such Erroneous Payment Assigned Amount shall be treated as a part of the Revolving Credit Exposure of the Erroneous Payment Assigning Lender, including for purposes of determining participations in Letters of Credit. For purposes hereof, “</w:t>
      </w:r>
      <w:r>
        <w:rPr>
          <w:rFonts w:ascii="Times New Roman" w:hAnsi="Times New Roman"/>
          <w:sz w:val="20"/>
          <w:u w:val="single"/>
        </w:rPr>
        <w:t>Erroneous Payment Assigned Amount</w:t>
      </w:r>
      <w:r>
        <w:rPr>
          <w:rFonts w:ascii="Times New Roman" w:hAnsi="Times New Roman"/>
          <w:sz w:val="20"/>
        </w:rPr>
        <w:t xml:space="preserve">” shall mean, as to any Erroneous Payment Assigning Lender, the principal amount assigned in accordance with clause (4) above (taking into account any prepayment or repayment from time to time of such principal amount in accordance with the terms of this Agreement). For the avoidance of doubt, no Erroneous Payment Deficiency Assignment will reduce the Revolving Commitments of any Lender and such Revolving Commitments shall remain available in accordance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(9) Each party’s obligations, agreements and waivers under this </w:t>
      </w:r>
      <w:r>
        <w:rPr>
          <w:rFonts w:ascii="Times New Roman" w:hAnsi="Times New Roman"/>
          <w:sz w:val="20"/>
          <w:u w:val="single"/>
        </w:rPr>
        <w:t>Section 10.15</w:t>
      </w:r>
      <w:r>
        <w:rPr>
          <w:rFonts w:ascii="Times New Roman" w:hAnsi="Times New Roman"/>
          <w:sz w:val="20"/>
        </w:rPr>
        <w:t xml:space="preserve"> shall survive the resignation or replacement of the Administrative Agent, any transfer of rights or obligations by, or the replacement of, a Lender, Issuing Lender or other Secured Party, the termination of the Commitments and/or the repayment, satisfaction or discharge of all Secured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ARTICLE 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No Assignment by the Borrower or MAC</w:t>
      </w:r>
      <w:r>
        <w:rPr>
          <w:rFonts w:ascii="Times New Roman" w:hAnsi="Times New Roman"/>
          <w:sz w:val="20"/>
        </w:rPr>
        <w:t xml:space="preserve">. Neither the Borrower nor MAC may assign its rights or obligations under this Agreement or the other Loan Documents without the prior written consent of the Administrative Agent, the Collateral Agent, and one hundred percent (100%) of the Lenders and the Issuing Lenders. Subject to the foregoing, all provisions contained in this Agreement and the other Loan Documents and in any document or agreement referred to herein or therein or relating hereto or thereto shall inure to the benefit of the Administrative Agent, the Collateral Agent, each Issuing Lender and each Lender, their respective successors and assigns, and shall be binding upon each of the Borrower Parties and such Person’s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Modification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Subject to </w:t>
      </w:r>
      <w:r>
        <w:rPr>
          <w:rFonts w:ascii="Times New Roman" w:hAnsi="Times New Roman"/>
          <w:sz w:val="20"/>
          <w:u w:val="single"/>
        </w:rPr>
        <w:t>Section 2.4</w:t>
      </w:r>
      <w:r>
        <w:rPr>
          <w:rFonts w:ascii="Times New Roman" w:hAnsi="Times New Roman"/>
          <w:sz w:val="20"/>
        </w:rPr>
        <w:t xml:space="preserve"> and to the additional requirements of </w:t>
      </w:r>
      <w:r>
        <w:rPr>
          <w:rFonts w:ascii="Times New Roman" w:hAnsi="Times New Roman"/>
          <w:sz w:val="20"/>
          <w:u w:val="single"/>
        </w:rPr>
        <w:t>Section 11.2(2)</w:t>
      </w:r>
      <w:r>
        <w:rPr>
          <w:rFonts w:ascii="Times New Roman" w:hAnsi="Times New Roman"/>
          <w:sz w:val="20"/>
        </w:rPr>
        <w:t xml:space="preserve"> and </w:t>
      </w:r>
      <w:r>
        <w:rPr>
          <w:rFonts w:ascii="Times New Roman" w:hAnsi="Times New Roman"/>
          <w:sz w:val="20"/>
          <w:u w:val="single"/>
        </w:rPr>
        <w:t>11.2(3)</w:t>
      </w:r>
      <w:r>
        <w:rPr>
          <w:rFonts w:ascii="Times New Roman" w:hAnsi="Times New Roman"/>
          <w:sz w:val="20"/>
        </w:rPr>
        <w:t xml:space="preserve">, neither this Agreement nor any other Loan Document may be Modified or waived unless such Modification or waiver is in writing and signed by the Administrative Agent, MAC, the Borrower and the Required Lenders; </w:t>
      </w:r>
      <w:r>
        <w:rPr>
          <w:rFonts w:ascii="Times New Roman" w:hAnsi="Times New Roman"/>
          <w:sz w:val="20"/>
          <w:u w:val="single"/>
        </w:rPr>
        <w:t>provided</w:t>
      </w:r>
      <w:r>
        <w:rPr>
          <w:rFonts w:ascii="Times New Roman" w:hAnsi="Times New Roman"/>
          <w:sz w:val="20"/>
        </w:rPr>
        <w:t xml:space="preserve"> that Administrative Agent may, with the consent of the Borrower only, (i) Modify this Agreement or any other Loan Document to cure any ambiguity, omission, defect or inconsistency, so long as such amendment, modification or supplement does not adversely affect the rights of any Lender or any Issuing Lender; (ii) Modify this Agreement or any other Loan Document to permit additional affiliates of the Borrower to guarantee the Secured Obligations and/or provide collateral therefor; and (iii) Modify this Agreement and other Loan Documents to add Collateral and/or Mortgaged Properties and to effectuate releases of Subsidiary Guarantors and Collateral as contemplated by Section 10.12 hereof; </w:t>
      </w:r>
      <w:r>
        <w:rPr>
          <w:rFonts w:ascii="Times New Roman" w:hAnsi="Times New Roman"/>
          <w:sz w:val="20"/>
          <w:u w:val="single"/>
        </w:rPr>
        <w:t>provided</w:t>
      </w:r>
      <w:r>
        <w:rPr>
          <w:rFonts w:ascii="Times New Roman" w:hAnsi="Times New Roman"/>
          <w:sz w:val="20"/>
        </w:rPr>
        <w:t xml:space="preserve"> further that this Agreement may be amended by any Joinder Agreements as contemplated by </w:t>
      </w:r>
      <w:r>
        <w:rPr>
          <w:rFonts w:ascii="Times New Roman" w:hAnsi="Times New Roman"/>
          <w:sz w:val="20"/>
          <w:u w:val="single"/>
        </w:rPr>
        <w:t>Article 3</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further that the Revolving Commitment Termination Date may be extended as provided in Section 1.7(5).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Notwithstanding the foregoing, no such Modification or waiver shall, without the prior written consent of each Lender that would be directly and adversely affected thereby (for the avoidance of doubt, in addition to the consents required under Section 11.2(1)): (i) reduce the principal of, or rate of interest on, any Loan or any LC Disbursement or interest or fees payable hereunder; </w:t>
      </w:r>
      <w:r>
        <w:rPr>
          <w:rFonts w:ascii="Times New Roman" w:hAnsi="Times New Roman"/>
          <w:sz w:val="20"/>
          <w:u w:val="single"/>
        </w:rPr>
        <w:t>provided</w:t>
      </w:r>
      <w:r>
        <w:rPr>
          <w:rFonts w:ascii="Times New Roman" w:hAnsi="Times New Roman"/>
          <w:sz w:val="20"/>
        </w:rPr>
        <w:t xml:space="preserve">, no (w) repayment of the Loans at par, (x) waiver of any post-default increase in interest rates, condition precedent, Potential Default, Specified Default, Event of Default or mandatory prepayment or repayment required under </w:t>
      </w:r>
      <w:r>
        <w:rPr>
          <w:rFonts w:ascii="Times New Roman" w:hAnsi="Times New Roman"/>
          <w:sz w:val="20"/>
          <w:u w:val="single"/>
        </w:rPr>
        <w:t>Section 1.9</w:t>
      </w:r>
      <w:r>
        <w:rPr>
          <w:rFonts w:ascii="Times New Roman" w:hAnsi="Times New Roman"/>
          <w:sz w:val="20"/>
        </w:rPr>
        <w:t xml:space="preserve"> or any other principal repayment obligation under any Loan Document (other than, for the avoidance of doubt, any payment required under</w:t>
      </w:r>
      <w:r>
        <w:rPr>
          <w:rFonts w:ascii="Times New Roman" w:hAnsi="Times New Roman"/>
          <w:sz w:val="20"/>
          <w:u w:val="single"/>
        </w:rPr>
        <w:t xml:space="preserve"> Section 1.8(1)</w:t>
      </w:r>
      <w:r>
        <w:rPr>
          <w:rFonts w:ascii="Times New Roman" w:hAnsi="Times New Roman"/>
          <w:sz w:val="20"/>
        </w:rPr>
        <w:t xml:space="preserve">), (y) amendment or modification of the financial covenants or defined terms used in the financial covenants in this Agreement or (z) replacement of the then-current Benchmark pursuant to </w:t>
      </w:r>
      <w:r>
        <w:rPr>
          <w:rFonts w:ascii="Times New Roman" w:hAnsi="Times New Roman"/>
          <w:sz w:val="20"/>
          <w:u w:val="single"/>
        </w:rPr>
        <w:t>Section 2.4</w:t>
      </w:r>
      <w:r>
        <w:rPr>
          <w:rFonts w:ascii="Times New Roman" w:hAnsi="Times New Roman"/>
          <w:sz w:val="20"/>
        </w:rPr>
        <w:t xml:space="preserve">, in each case, shall constitute a reduction in the principal of, or rate of interest on, any Loan or any LC Disbursement or interest or fees, (ii) except as expressly contemplated by this </w:t>
      </w:r>
      <w:r>
        <w:rPr>
          <w:rFonts w:ascii="Times New Roman" w:hAnsi="Times New Roman"/>
          <w:sz w:val="20"/>
          <w:u w:val="single"/>
        </w:rPr>
        <w:t>Section 11.2</w:t>
      </w:r>
      <w:r>
        <w:rPr>
          <w:rFonts w:ascii="Times New Roman" w:hAnsi="Times New Roman"/>
          <w:sz w:val="20"/>
        </w:rPr>
        <w:t xml:space="preserve"> and </w:t>
      </w:r>
      <w:r>
        <w:rPr>
          <w:rFonts w:ascii="Times New Roman" w:hAnsi="Times New Roman"/>
          <w:sz w:val="20"/>
          <w:u w:val="single"/>
        </w:rPr>
        <w:t>Section 11.8</w:t>
      </w:r>
      <w:r>
        <w:rPr>
          <w:rFonts w:ascii="Times New Roman" w:hAnsi="Times New Roman"/>
          <w:sz w:val="20"/>
        </w:rPr>
        <w:t xml:space="preserve"> below, increase the Commitment of any Lender over the amount thereof then in effect or extend the expiration date of any Commitment of any Lender; </w:t>
      </w:r>
      <w:r>
        <w:rPr>
          <w:rFonts w:ascii="Times New Roman" w:hAnsi="Times New Roman"/>
          <w:sz w:val="20"/>
          <w:u w:val="single"/>
        </w:rPr>
        <w:t>provided</w:t>
      </w:r>
      <w:r>
        <w:rPr>
          <w:rFonts w:ascii="Times New Roman" w:hAnsi="Times New Roman"/>
          <w:sz w:val="20"/>
        </w:rPr>
        <w:t xml:space="preserve">, no amendment, modification or waiver of any condition precedent (other than any condition precedent under </w:t>
      </w:r>
      <w:r>
        <w:rPr>
          <w:rFonts w:ascii="Times New Roman" w:hAnsi="Times New Roman"/>
          <w:sz w:val="20"/>
          <w:u w:val="single"/>
        </w:rPr>
        <w:t>Section 1.7(5)</w:t>
      </w:r>
      <w:r>
        <w:rPr>
          <w:rFonts w:ascii="Times New Roman" w:hAnsi="Times New Roman"/>
          <w:sz w:val="20"/>
        </w:rPr>
        <w:t xml:space="preserve">, which shall constitute an extension of the expiration date of the Commitment of the applicable Lenders and shall require the consent of such Lenders), covenant (including any financial covenant (including the defined terms used therein) or covenant relating to Borrowing Base Assets), Potential Default, Specified Default, Event of Default or mandatory prepayment or repayment required under </w:t>
      </w:r>
      <w:r>
        <w:rPr>
          <w:rFonts w:ascii="Times New Roman" w:hAnsi="Times New Roman"/>
          <w:sz w:val="20"/>
          <w:u w:val="single"/>
        </w:rPr>
        <w:t>Section 1.9</w:t>
      </w:r>
      <w:r>
        <w:rPr>
          <w:rFonts w:ascii="Times New Roman" w:hAnsi="Times New Roman"/>
          <w:sz w:val="20"/>
        </w:rPr>
        <w:t xml:space="preserve"> or any other principal repayment obligation under any Loan Document shall constitute an increase in any Commitment of any Lender or an extension of the expiration date of any Commitment of any Lender, (iii) Modify the definition of “Required Lenders” or the percentage of Lenders which shall be required for Lenders to take any action hereunder (</w:t>
      </w:r>
      <w:r>
        <w:rPr>
          <w:rFonts w:ascii="Times New Roman" w:hAnsi="Times New Roman"/>
          <w:sz w:val="20"/>
          <w:u w:val="single"/>
        </w:rPr>
        <w:t>provided</w:t>
      </w:r>
      <w:r>
        <w:rPr>
          <w:rFonts w:ascii="Times New Roman" w:hAnsi="Times New Roman"/>
          <w:sz w:val="20"/>
        </w:rPr>
        <w:t xml:space="preserve"> that additional extensions of credit pursuant hereto may be included in the determination of “Required Lenders” on substantially the same basis as the Commitments, the Loans and the other Revolving Credit Exposure are included on the Closing Date), (iv) extend or waive any scheduled payment date for any principal, interest or fees, including any payment required under </w:t>
      </w:r>
      <w:r>
        <w:rPr>
          <w:rFonts w:ascii="Times New Roman" w:hAnsi="Times New Roman"/>
          <w:sz w:val="20"/>
          <w:u w:val="single"/>
        </w:rPr>
        <w:t>Section 1.8(1)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no amendment, modification or waiver of any post-default increase in interest rates, condition precedent, covenant (including any financial covenant (including the defined terms used therein) or covenant relating to Borrowing Base Assets), Potential Default, Specified Default, Event of Default or mandatory prepayment or repayment under </w:t>
      </w:r>
      <w:r>
        <w:rPr>
          <w:rFonts w:ascii="Times New Roman" w:hAnsi="Times New Roman"/>
          <w:sz w:val="20"/>
          <w:u w:val="single"/>
        </w:rPr>
        <w:t>Section 1.9</w:t>
      </w:r>
      <w:r>
        <w:rPr>
          <w:rFonts w:ascii="Times New Roman" w:hAnsi="Times New Roman"/>
          <w:sz w:val="20"/>
        </w:rPr>
        <w:t xml:space="preserve"> or any other principal repayment obligation (other than, for the avoidance of doubt, any payment required under </w:t>
      </w:r>
      <w:r>
        <w:rPr>
          <w:rFonts w:ascii="Times New Roman" w:hAnsi="Times New Roman"/>
          <w:sz w:val="20"/>
          <w:u w:val="single"/>
        </w:rPr>
        <w:t>Section 1.8(1)</w:t>
      </w:r>
      <w:r>
        <w:rPr>
          <w:rFonts w:ascii="Times New Roman" w:hAnsi="Times New Roman"/>
          <w:sz w:val="20"/>
        </w:rPr>
        <w:t xml:space="preserve">) under any Loan Document shall constitute an extension or waiver of any scheduled payment date for any principal, interest or fees, (v) (A) release MAC from its obligations under the REIT Guaranty, (B) release the Borrower from its obligation to repay the Loans and LC Disbursements hereunder or (C) release all or substantially all of the Guarantors or the Collateral, except, in the case of this clause (C), to the extent such release is otherwise permitted under the Loan Documents, (vi) Modify this </w:t>
      </w:r>
      <w:r>
        <w:rPr>
          <w:rFonts w:ascii="Times New Roman" w:hAnsi="Times New Roman"/>
          <w:sz w:val="20"/>
          <w:u w:val="single"/>
        </w:rPr>
        <w:t>Section 11.2</w:t>
      </w:r>
      <w:r>
        <w:rPr>
          <w:rFonts w:ascii="Times New Roman" w:hAnsi="Times New Roman"/>
          <w:sz w:val="20"/>
        </w:rPr>
        <w:t xml:space="preserve">, (vii) Modify any provision of the Loan Documents which by its terms requires the consent or approval of all affected Lenders, (viii) Modify any pro rata sharing provision of any Loan Document or the payment “waterfall” in </w:t>
      </w:r>
      <w:r>
        <w:rPr>
          <w:rFonts w:ascii="Times New Roman" w:hAnsi="Times New Roman"/>
          <w:sz w:val="20"/>
          <w:u w:val="single"/>
        </w:rPr>
        <w:t>Article 9</w:t>
      </w:r>
      <w:r>
        <w:rPr>
          <w:rFonts w:ascii="Times New Roman" w:hAnsi="Times New Roman"/>
          <w:sz w:val="20"/>
        </w:rPr>
        <w:t xml:space="preserve"> or (ix) subordinate (A) any of the Liens securing the Obligations to Liens securing any other Indebtedness or (B) the payment of any Obligations to the payment of any other Indebtedness; </w:t>
      </w:r>
      <w:r>
        <w:rPr>
          <w:rFonts w:ascii="Times New Roman" w:hAnsi="Times New Roman"/>
          <w:sz w:val="20"/>
          <w:u w:val="single"/>
        </w:rPr>
        <w:t>provided</w:t>
      </w:r>
      <w:r>
        <w:rPr>
          <w:rFonts w:ascii="Times New Roman" w:hAnsi="Times New Roman"/>
          <w:sz w:val="20"/>
        </w:rPr>
        <w:t xml:space="preserve"> that, for the avoidance of doubt, all Lenders shall be deemed directly and adversely affected thereby with respect to any amendment described in </w:t>
      </w:r>
      <w:r>
        <w:rPr>
          <w:rFonts w:ascii="Times New Roman" w:hAnsi="Times New Roman"/>
          <w:sz w:val="20"/>
          <w:u w:val="single"/>
        </w:rPr>
        <w:t>clauses (iii)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No Modification of any provision of the Loan Documents, or consent to any departure by any Borrower Party therefrom, shall: (i) Modify any provision of the Loan Documents relating to the Administrative Agent without the written consent of the Administrative Agent; (ii) Modify any provision of the Loan Documents relating to the Collateral Agent without the written consent of the Collateral Agent; (iii) Modify any obligation of Lenders relating to the purchase of participations in Letters of Credit as provided in </w:t>
      </w:r>
      <w:r>
        <w:rPr>
          <w:rFonts w:ascii="Times New Roman" w:hAnsi="Times New Roman"/>
          <w:sz w:val="20"/>
          <w:u w:val="single"/>
        </w:rPr>
        <w:t>Section 1.4</w:t>
      </w:r>
      <w:r>
        <w:rPr>
          <w:rFonts w:ascii="Times New Roman" w:hAnsi="Times New Roman"/>
          <w:sz w:val="20"/>
        </w:rPr>
        <w:t xml:space="preserve"> or the limitations on amounts of Letters of Credit of the applicable Issuing Lenders set forth in Section 1.4(3), in each case, without the written consent of Administrative Agent and the Issuing Lenders; (iv) Modify or waive any provision hereof relating to the Letter of Credit Commitment of any Issuing Lender, extend or waive any scheduled payment date for any reimbursement of any LC Disbursement or any pledge or deposit of Cash Collateral or extend the LC Commitment Expiry Date of any Issuing Lender, in each case, without the consent of such Issuing Lender; provided, no amendment, modification or waiver of any condition precedent, covenant, Potential Default or Event of Default shall constitute a modification of the Letter of Credit Commitment of any Issuing Lender; or (v) Modify any provision of the Loan Documents relating to any Agent without the written consent of such Agent. </w:t>
      </w:r>
    </w:p>
    <w:p>
      <w:pPr>
        <w:pStyle w:val="TextBody"/>
        <w:bidi w:val="0"/>
        <w:spacing w:before="240" w:after="0"/>
        <w:jc w:val="left"/>
        <w:rPr>
          <w:rFonts w:ascii="Times New Roman" w:hAnsi="Times New Roman"/>
          <w:sz w:val="20"/>
        </w:rPr>
      </w:pPr>
      <w:r>
        <w:rPr>
          <w:rFonts w:ascii="Times New Roman" w:hAnsi="Times New Roman"/>
          <w:sz w:val="20"/>
        </w:rPr>
        <w:t xml:space="preserve">(4) Notwithstanding anything in this Agreement or any other Loan Document to the contrary, the Borrower may enter into Joinder Agreements in accordance with </w:t>
      </w:r>
      <w:r>
        <w:rPr>
          <w:rFonts w:ascii="Times New Roman" w:hAnsi="Times New Roman"/>
          <w:sz w:val="20"/>
          <w:u w:val="single"/>
        </w:rPr>
        <w:t>Article 3</w:t>
      </w:r>
      <w:r>
        <w:rPr>
          <w:rFonts w:ascii="Times New Roman" w:hAnsi="Times New Roman"/>
          <w:sz w:val="20"/>
        </w:rPr>
        <w:t xml:space="preserve"> and such Joinder Agreements shall be effective to amend the terms of this Agreement and the other applicable Loan Documents, in each case, without any further action or consent of any other party to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(5) If any Lender does not consent to a proposed amendment, waiver, consent or release with respect to this Agreement or any other Loan Document that requires the consent of each Lender that would be directly and adversely affected thereby or the consent of all Lenders, as the case may be, the Borrower may replace such non-consenting Lender in accordance with </w:t>
      </w:r>
      <w:r>
        <w:rPr>
          <w:rFonts w:ascii="Times New Roman" w:hAnsi="Times New Roman"/>
          <w:sz w:val="20"/>
          <w:u w:val="single"/>
        </w:rPr>
        <w:t>Section 2.8(2)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proposed amendment, waiver, consent or release has otherwise been approved by the Required Lenders and (ii) such amendment, waiver, consent or release can be effected as a result of the assignment contemplated by such Section (together with all other such assignments required by the Borrower to be made pursuant to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Further, it is expressly agreed and understood that the failure by the Required Lenders to elect to accelerate amounts outstanding hereunder and/or to terminate the Commitments of the Lenders and the Issuing Lenders hereunder shall not constitute a Modification or waiver of any term or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Cumulative Rights; No Waiver</w:t>
      </w:r>
      <w:r>
        <w:rPr>
          <w:rFonts w:ascii="Times New Roman" w:hAnsi="Times New Roman"/>
          <w:sz w:val="20"/>
        </w:rPr>
        <w:t xml:space="preserve">. The rights, powers and remedies of the Administrative Agent, the Collateral Agent, the Issuing Lenders and the Lenders hereunder and under the other Loan Documents are cumulative and in addition to all rights, power and remedies provided under any and all agreements among the Borrower Parties, the Administrative Agent, the Collateral Agent, the Issuing Lenders and the Lenders relating hereto, at law, in equity or otherwise. Any delay or failure by Administrative Agent, the Collateral Agent, the Issuing Lenders and the Lenders to exercise any right, power or remedy shall not constitute a waiver thereof by the Administrative Agent, the Collateral Agent, the Issuing Lenders or the Lenders, and no single or partial exercise by the Administrative Agent, the Collateral Agent, the Issuing Lenders or the Lenders of any right, power or remedy shall preclude other or further exercise thereof or any exercise of any other rights, powers or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Entire Agreement</w:t>
      </w:r>
      <w:r>
        <w:rPr>
          <w:rFonts w:ascii="Times New Roman" w:hAnsi="Times New Roman"/>
          <w:sz w:val="20"/>
        </w:rPr>
        <w:t xml:space="preserve">. This Agreement, the other Loan Documents and the schedules, appendices, documents and agreements referred to herein and therein embody the entire agreement and understanding between the parties hereto and supersede all prior agreements and understandings relating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sz w:val="20"/>
          <w:u w:val="single"/>
        </w:rPr>
        <w:t>Survival</w:t>
      </w:r>
      <w:r>
        <w:rPr>
          <w:rFonts w:ascii="Times New Roman" w:hAnsi="Times New Roman"/>
          <w:sz w:val="20"/>
        </w:rPr>
        <w:t xml:space="preserve">. All representations, warranties, covenants and agreements contained in this Agreement and the other Loan Documents on the part of the Borrower Parties shall survive the termination of this Agreement and shall be effective until the Obligations are paid and performed in full or longer as expressly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Notices Generally. Except in the case of notices and other communications expressly permitted to be given by telephone (and except as provided in </w:t>
      </w:r>
      <w:r>
        <w:rPr>
          <w:rFonts w:ascii="Times New Roman" w:hAnsi="Times New Roman"/>
          <w:sz w:val="20"/>
          <w:u w:val="single"/>
        </w:rPr>
        <w:t>paragraph (2)</w:t>
      </w:r>
      <w:r>
        <w:rPr>
          <w:rFonts w:ascii="Times New Roman" w:hAnsi="Times New Roman"/>
          <w:sz w:val="20"/>
        </w:rPr>
        <w:t xml:space="preserve"> below), all notices and other communications provided for herein shall be in writing and shall be delivered by hand or overnight courier service, mailed by certified or registered mail or sent by facsimile, in each case, addressed to the party at the address set forth on </w:t>
      </w:r>
      <w:r>
        <w:rPr>
          <w:rFonts w:ascii="Times New Roman" w:hAnsi="Times New Roman"/>
          <w:sz w:val="20"/>
          <w:u w:val="single"/>
        </w:rPr>
        <w:t>Schedule 11.6</w:t>
      </w:r>
      <w:r>
        <w:rPr>
          <w:rFonts w:ascii="Times New Roman" w:hAnsi="Times New Roman"/>
          <w:sz w:val="20"/>
        </w:rPr>
        <w:t xml:space="preserve"> attached hereto.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hAnsi="Times New Roman"/>
          <w:sz w:val="20"/>
          <w:u w:val="single"/>
        </w:rPr>
        <w:t>paragraph (2)</w:t>
      </w:r>
      <w:r>
        <w:rPr>
          <w:rFonts w:ascii="Times New Roman" w:hAnsi="Times New Roman"/>
          <w:sz w:val="20"/>
        </w:rPr>
        <w:t xml:space="preserve"> below, shall be effective as provided in said </w:t>
      </w:r>
      <w:r>
        <w:rPr>
          <w:rFonts w:ascii="Times New Roman" w:hAnsi="Times New Roman"/>
          <w:sz w:val="20"/>
          <w:u w:val="single"/>
        </w:rPr>
        <w:t>paragraph (2)</w:t>
      </w:r>
      <w:r>
        <w:rPr>
          <w:rFonts w:ascii="Times New Roman" w:hAnsi="Times New Roman"/>
          <w:sz w:val="20"/>
        </w:rPr>
        <w:t xml:space="preserve">. Notices may be provided on behalf of the Borrower Parties by their legal counsel and delivery of such notices shall be deemed delivery by the Borrower Parties.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Electronic Communications</w:t>
      </w:r>
      <w:r>
        <w:rPr>
          <w:rFonts w:ascii="Times New Roman" w:hAnsi="Times New Roman"/>
          <w:sz w:val="20"/>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or any Issuing Lender pursuant to </w:t>
      </w:r>
      <w:r>
        <w:rPr>
          <w:rFonts w:ascii="Times New Roman" w:hAnsi="Times New Roman"/>
          <w:sz w:val="20"/>
          <w:u w:val="single"/>
        </w:rPr>
        <w:t>Section 1.5</w:t>
      </w:r>
      <w:r>
        <w:rPr>
          <w:rFonts w:ascii="Times New Roman" w:hAnsi="Times New Roman"/>
          <w:sz w:val="20"/>
        </w:rPr>
        <w:t xml:space="preserve"> if such Lender or such Issuing Lender, as applicable, has notified the Administrative Agent that it is incapable of receiving notices under such Section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hAnsi="Times New Roman"/>
          <w:sz w:val="20"/>
          <w:u w:val="single"/>
        </w:rPr>
        <w:t>clause (i)</w:t>
      </w:r>
      <w:r>
        <w:rPr>
          <w:rFonts w:ascii="Times New Roman" w:hAnsi="Times New Roman"/>
          <w:sz w:val="20"/>
        </w:rPr>
        <w:t xml:space="preserve">, of notification that such notice or communication is available and identifying the website address therefore; </w:t>
      </w:r>
      <w:r>
        <w:rPr>
          <w:rFonts w:ascii="Times New Roman" w:hAnsi="Times New Roman"/>
          <w:sz w:val="20"/>
          <w:u w:val="single"/>
        </w:rPr>
        <w:t>provided</w:t>
      </w:r>
      <w:r>
        <w:rPr>
          <w:rFonts w:ascii="Times New Roman" w:hAnsi="Times New Roman"/>
          <w:sz w:val="20"/>
        </w:rPr>
        <w:t xml:space="preserve"> that, for both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paragraph, if such notice, email or other communication is not sent during the normal business hours of the recipient, such notice or communication shall be deemed to have been sent at the opening of business on the next business day for the recipient.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Change of Address, etc</w:t>
      </w:r>
      <w:r>
        <w:rPr>
          <w:rFonts w:ascii="Times New Roman" w:hAnsi="Times New Roman"/>
          <w:sz w:val="20"/>
        </w:rPr>
        <w:t xml:space="preserve">. Any party hereto may change its address or facsimile number for notices and other communications hereunder by notice to the other parties hereto; provided that, in the case of the Administrative Agent, the Collateral Agent or an Issuing Lender, such physical address for notice is an address maintained in the continental United States.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Platform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Borrower Party agrees that the Administrative Agent may, but shall not be obligated to, make the Communications (as defined below) available to the Issuing Lenders and the other Lenders by posting the Communications on Debt Domain, Intralinks, Syndtrak or a substantially similar electronic transmission system (the “</w:t>
      </w:r>
      <w:r>
        <w:rPr>
          <w:rFonts w:ascii="Times New Roman" w:hAnsi="Times New Roman"/>
          <w:sz w:val="20"/>
          <w:u w:val="single"/>
        </w:rPr>
        <w:t>Platform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have any liability to the Borrower or the other Borrower Parties, any Lender or any other Person or entity for damages of any kind, including, without limitation, direct or indirect, special, incidental or consequential damages, losses or expenses (whether in tort, contract or otherwise) arising out of the Borrower’s, any other Borrower Party’s or the Administrative Agent’s transmission of Communications through the Platform. “</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that any Borrower Party provides to the Administrative Agent pursuant to any Loan Document or the transactions contemplated therein which is distributed to the Administrative Agent, any Lender or any Issuing Lender by means of electronic communications pursuant to this Section, including through the Platform.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sz w:val="20"/>
          <w:u w:val="single"/>
        </w:rPr>
        <w:t>Governing Law</w:t>
      </w:r>
      <w:r>
        <w:rPr>
          <w:rFonts w:ascii="Times New Roman" w:hAnsi="Times New Roman"/>
          <w:sz w:val="20"/>
        </w:rPr>
        <w:t xml:space="preserve">. THIS AGREEMENT AND THE OTHER LOAN DOCUMENTS (IN THE CASE OF THE SECURITY DOCUMENTS, EXCEPT AS OTHERWISE SET FORTH THEREIN) AND ANY CLAIMS, CONTROVERSIES, DISPUTES OR CAUSES OF ACTION (WHETHER IN CONTRACT, TORT OR OTHERWISE AND IN LAW OR EQUITY) BASED UPON, ARISING OUT OF OR RELATING TO THIS AGREEMENT OR ANY OTHER LOAN DOCUMENT AND THE TRANSACTIONS CONTEMPLATED HEREBY AND THEREBY SHALL BE GOVERNED BY, AND CONSTRUED IN ACCORDANCE WITH, THE LAW OF THE STATE OF NEW YORK, WITHOUT GIVING EFFECT TO ITS PRINCIPLES OR RULES OF CONFLICTS OF LAWS TO THE EXTENT SUCH PRINCIPLES OR RULES ARE NOT MANDATORILY APPLICABLE BY STATUTE AND WOULD REQUIRE OR PERMIT THE APPLICATION OF THE LAWS OF ANOTHER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11.8. </w:t>
      </w:r>
      <w:r>
        <w:rPr>
          <w:rFonts w:ascii="Times New Roman" w:hAnsi="Times New Roman"/>
          <w:sz w:val="20"/>
          <w:u w:val="single"/>
        </w:rPr>
        <w:t>Assignments, Participations,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With the prior written consent of the Administrative Agent, the Issuing Lenders (with respect to assignments of Revolving Commitments and Revolving Credit Exposure only) and, but only if there has not occurred and is continuing an Event of Default or Potential Default, MAC, in each case such consents not to be unreasonably withheld or delayed, any Lender may at any time assign and delegate to one or more Eligible Assignees (</w:t>
      </w:r>
      <w:r>
        <w:rPr>
          <w:rFonts w:ascii="Times New Roman" w:hAnsi="Times New Roman"/>
          <w:sz w:val="20"/>
          <w:u w:val="single"/>
        </w:rPr>
        <w:t>provided</w:t>
      </w:r>
      <w:r>
        <w:rPr>
          <w:rFonts w:ascii="Times New Roman" w:hAnsi="Times New Roman"/>
          <w:sz w:val="20"/>
        </w:rPr>
        <w:t xml:space="preserve"> that (i) no written consent of MAC or the Administrative Agent shall be required in connection with any assignment and delegation by a Lender to an Affiliate of such Lender or to another Lender or its Affiliate or an Approved Fund, (ii) MAC shall be deemed to have consented to any such assignment and delegation unless it shall have objected thereto by written notice to the Administrative Agent within 10 Business Days after having received notice thereof and (iii) MAC’s refusal to consent to an assignment to an assignee on the basis that MAC would be obligated to pay to the assignee pursuant to Section 2.7 an amount in excess of the amount payable to the applicable assignor pursuant to Section 2.7 immediately prior to such assignment is deemed to be reasonable) (each an “</w:t>
      </w:r>
      <w:r>
        <w:rPr>
          <w:rFonts w:ascii="Times New Roman" w:hAnsi="Times New Roman"/>
          <w:sz w:val="20"/>
          <w:u w:val="single"/>
        </w:rPr>
        <w:t>Assignee</w:t>
      </w:r>
      <w:r>
        <w:rPr>
          <w:rFonts w:ascii="Times New Roman" w:hAnsi="Times New Roman"/>
          <w:sz w:val="20"/>
        </w:rPr>
        <w:t xml:space="preserve">”) all or any part of such Lender’s rights and obligations under this Agreement (including all or a portion of its Commitment and the Loans at the time owing to it) and the other Obligations held by such Lender hereunder, in a minimum amount of $5 million (or (A) if such Assignee is another Lender or an Affiliate or Approved Fund of a Lender, $1 million, or such lesser amount as agreed by the Administrative Agent; and (B) if such Lender’s Commitment (or, after the Revolving Commitments have terminated, Revolving Credit Exposure) is less than $5 million, one hundred percent (100%)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MAC, the Borrower, the Issuing Lenders, the Collateral Agent and the Administrative Agent may continue to deal solely and directly with such Lender in connection with the interest so assigned to an Assignee until (i) written notice of such assignment, together with payment instructions, addresses and related information with respect to the Assignee, shall have been given to the Borrower, the Issuing Lenders and the Administrative Agent by such Lender and the Assignee and such assignment shall have been recorded in the Register in accordance with </w:t>
      </w:r>
      <w:r>
        <w:rPr>
          <w:rFonts w:ascii="Times New Roman" w:hAnsi="Times New Roman"/>
          <w:sz w:val="20"/>
          <w:u w:val="single"/>
        </w:rPr>
        <w:t>Section 11.8(1)(B)</w:t>
      </w:r>
      <w:r>
        <w:rPr>
          <w:rFonts w:ascii="Times New Roman" w:hAnsi="Times New Roman"/>
          <w:sz w:val="20"/>
        </w:rPr>
        <w:t xml:space="preserve">; (ii) such Lender and its Assignee shall have delivered to the Borrower and the Administrative Agent an Assignment and Acceptance Agreement; and (iii) the Assignee has paid to the Administrative Agent a processing fee in the amount of $3,500. Notwithstanding anything herein to the contrary, unless a Potential Default or an Event of Default has occurred and is continuing, no assignment, transfer or participation may be made to a Disqualified Institution absent the prior written consent of MAC (which consent may be made in its sole and absolute discretion). The Administrative Agent and its Related Parties shall not be responsible or have any liability for, or have any duty to ascertain, inquire into, monitor or enforce compliance with the provisions hereof relating to Disqualified Institutions; </w:t>
      </w:r>
      <w:r>
        <w:rPr>
          <w:rFonts w:ascii="Times New Roman" w:hAnsi="Times New Roman"/>
          <w:i/>
          <w:sz w:val="20"/>
        </w:rPr>
        <w:t xml:space="preserve">provided </w:t>
      </w:r>
      <w:r>
        <w:rPr>
          <w:rFonts w:ascii="Times New Roman" w:hAnsi="Times New Roman"/>
          <w:sz w:val="20"/>
        </w:rPr>
        <w:t xml:space="preserve">that the list of Disqualified Institutions shall be posted for all Lenders or made available to any Lender upon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From and after the date that the Administrative Agent notifies the assignor Lender and the Borrower that it has received an executed Assignment and Acceptance Agreement and payment of the above-referenced processing fee: (i) the Assignee thereunder shall be a party hereto and, to the extent that rights and obligations hereunder and under the other Loan Documents have been assigned to it pursuant to such Assignment and Acceptance Agreement, shall have the rights and obligations of a Lender under the Loan Documents, (ii) the assignor Lender shall, to the extent that rights and obligations hereunder and under the other Loan Documents have been assigned by it pursuant to such Assignment and Acceptance Agreement, relinquish its rights and be released from its obligations under the Loan Documents (but shall be entitled to indemnification as otherwise provided in this Agreement with respect to any events occurring prior to the assignment) and (iii) this Agreement shall be deemed to be amended to the extent, but only to the extent, necessary to reflect the addition of the Assignee and the resulting adjustment of the Commitments and Credit Exposures resulting therefrom. </w:t>
      </w:r>
    </w:p>
    <w:p>
      <w:pPr>
        <w:pStyle w:val="TextBody"/>
        <w:bidi w:val="0"/>
        <w:spacing w:before="240" w:after="0"/>
        <w:jc w:val="left"/>
        <w:rPr>
          <w:rFonts w:ascii="Times New Roman" w:hAnsi="Times New Roman"/>
          <w:sz w:val="20"/>
        </w:rPr>
      </w:pPr>
      <w:r>
        <w:rPr>
          <w:rFonts w:ascii="Times New Roman" w:hAnsi="Times New Roman"/>
          <w:sz w:val="20"/>
        </w:rPr>
        <w:t xml:space="preserve">(B) Borrower, Administrative Agent and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receipt by Administrative Agent of a fully executed Assignment and Acceptance Agreement effecting the assignment or transfer thereof, together with the required forms and certificates regarding tax matters and any fees payable in connection with such assignment, in each case, as provided in </w:t>
      </w:r>
      <w:r>
        <w:rPr>
          <w:rFonts w:ascii="Times New Roman" w:hAnsi="Times New Roman"/>
          <w:sz w:val="20"/>
          <w:u w:val="single"/>
        </w:rPr>
        <w:t>Section 11.8(1)</w:t>
      </w:r>
      <w:r>
        <w:rPr>
          <w:rFonts w:ascii="Times New Roman" w:hAnsi="Times New Roman"/>
          <w:sz w:val="20"/>
        </w:rPr>
        <w:t xml:space="preserve">. Each assignment shall be recorded in the Register promptly following receipt by the Administrative Agent of the fully executed Assignment and Acceptance Agreement and all other necessary documents and approvals, prompt notice thereof shall be provided to Borrower and a copy of such Assignment and Acceptance Agreement shall be maintained, as applicable. Any request, authority or consent of any Person who, at the time of making such request or giving such authority or consent, is listed in the Register as a Lender shall be conclusive and binding absent manifest error on any subsequent holder, assignee or transferee of the corresponding Commitments or Loans. The Administrative Agent will deliver to the Borrower a copy of the Register within five (5) Business Days after the Administrative Agent’s receipt of the Borrower’s written request therefor. </w:t>
      </w:r>
    </w:p>
    <w:p>
      <w:pPr>
        <w:pStyle w:val="TextBody"/>
        <w:bidi w:val="0"/>
        <w:spacing w:before="240" w:after="0"/>
        <w:jc w:val="left"/>
        <w:rPr>
          <w:rFonts w:ascii="Times New Roman" w:hAnsi="Times New Roman"/>
          <w:sz w:val="20"/>
        </w:rPr>
      </w:pPr>
      <w:r>
        <w:rPr>
          <w:rFonts w:ascii="Times New Roman" w:hAnsi="Times New Roman"/>
          <w:sz w:val="20"/>
        </w:rPr>
        <w:t xml:space="preserve">(2) Within five Business Days after its receipt of notice by the Administrative Agent that it has received an executed Assignment and Acceptance Agreement and payment of the processing fee (which notice shall also be sent by the Administrative Agent to each Lender), the Borrower shall, if requested by the Assignee, execute and deliver to the Administrative Agent, a new Note evidencing such Assignee’s Revolving Commitment. </w:t>
      </w:r>
    </w:p>
    <w:p>
      <w:pPr>
        <w:pStyle w:val="TextBody"/>
        <w:bidi w:val="0"/>
        <w:spacing w:before="240" w:after="0"/>
        <w:jc w:val="left"/>
        <w:rPr>
          <w:rFonts w:ascii="Times New Roman" w:hAnsi="Times New Roman"/>
          <w:sz w:val="20"/>
        </w:rPr>
      </w:pPr>
      <w:r>
        <w:rPr>
          <w:rFonts w:ascii="Times New Roman" w:hAnsi="Times New Roman"/>
          <w:sz w:val="20"/>
        </w:rPr>
        <w:t>(3) Any Lender may at any time, without notice to or the consent of any other Person, sell to one or more commercial banks or other Persons not Affiliates of the Borrower (other than, unless a Potential Default or an Event of Default has occurred and is continuing, a Disqualified Institution without the prior written consent of MAC) (a “</w:t>
      </w:r>
      <w:r>
        <w:rPr>
          <w:rFonts w:ascii="Times New Roman" w:hAnsi="Times New Roman"/>
          <w:sz w:val="20"/>
          <w:u w:val="single"/>
        </w:rPr>
        <w:t>Participant</w:t>
      </w:r>
      <w:r>
        <w:rPr>
          <w:rFonts w:ascii="Times New Roman" w:hAnsi="Times New Roman"/>
          <w:sz w:val="20"/>
        </w:rPr>
        <w:t>”) participating interests in all or any portion of its rights and obligations under this Agreement and the other Loan Documents (including all or a portion of its Commitments and the Loans owing to it) (the “</w:t>
      </w:r>
      <w:r>
        <w:rPr>
          <w:rFonts w:ascii="Times New Roman" w:hAnsi="Times New Roman"/>
          <w:sz w:val="20"/>
          <w:u w:val="single"/>
        </w:rPr>
        <w:t>Originating Lender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Originating Lender’s obligations under this Agreement shall remain unchanged, (ii) the Originating Lender shall remain solely responsible for the performance of such obligations, and (iii) the Borrower, the Issuing Lenders, the Collateral Agent and the Administrative Agent shall continue to deal solely and directly with the Originating Lender in connection with the Originating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and obligations under this Agreement and the other Loan Documents. In the case of any such participation, the Participant shall be entitled to the benefit of </w:t>
      </w:r>
      <w:r>
        <w:rPr>
          <w:rFonts w:ascii="Times New Roman" w:hAnsi="Times New Roman"/>
          <w:sz w:val="20"/>
          <w:u w:val="single"/>
        </w:rPr>
        <w:t>Sections 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and</w:t>
      </w:r>
      <w:r>
        <w:rPr>
          <w:rFonts w:ascii="Times New Roman" w:hAnsi="Times New Roman"/>
          <w:sz w:val="20"/>
          <w:u w:val="single"/>
        </w:rPr>
        <w:t xml:space="preserve"> 2.7</w:t>
      </w:r>
      <w:r>
        <w:rPr>
          <w:rFonts w:ascii="Times New Roman" w:hAnsi="Times New Roman"/>
          <w:sz w:val="20"/>
        </w:rPr>
        <w:t xml:space="preserve"> (and subject to the burdens of </w:t>
      </w:r>
      <w:r>
        <w:rPr>
          <w:rFonts w:ascii="Times New Roman" w:hAnsi="Times New Roman"/>
          <w:sz w:val="20"/>
          <w:u w:val="single"/>
        </w:rPr>
        <w:t>Sections 2.8</w:t>
      </w:r>
      <w:r>
        <w:rPr>
          <w:rFonts w:ascii="Times New Roman" w:hAnsi="Times New Roman"/>
          <w:sz w:val="20"/>
        </w:rPr>
        <w:t xml:space="preserve"> and </w:t>
      </w:r>
      <w:r>
        <w:rPr>
          <w:rFonts w:ascii="Times New Roman" w:hAnsi="Times New Roman"/>
          <w:sz w:val="20"/>
          <w:u w:val="single"/>
        </w:rPr>
        <w:t>11.8</w:t>
      </w:r>
      <w:r>
        <w:rPr>
          <w:rFonts w:ascii="Times New Roman" w:hAnsi="Times New Roman"/>
          <w:sz w:val="20"/>
        </w:rPr>
        <w:t xml:space="preserve"> above), and the benefits of </w:t>
      </w:r>
      <w:r>
        <w:rPr>
          <w:rFonts w:ascii="Times New Roman" w:hAnsi="Times New Roman"/>
          <w:sz w:val="20"/>
          <w:u w:val="single"/>
        </w:rPr>
        <w:t>Section 2.10</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2.10(6)</w:t>
      </w:r>
      <w:r>
        <w:rPr>
          <w:rFonts w:ascii="Times New Roman" w:hAnsi="Times New Roman"/>
          <w:sz w:val="20"/>
        </w:rPr>
        <w:t xml:space="preserve"> (it being understood that the documentation required under</w:t>
      </w:r>
      <w:r>
        <w:rPr>
          <w:rFonts w:ascii="Times New Roman" w:hAnsi="Times New Roman"/>
          <w:sz w:val="20"/>
          <w:u w:val="single"/>
        </w:rPr>
        <w:t xml:space="preserve"> Section 2.10(6)</w:t>
      </w:r>
      <w:r>
        <w:rPr>
          <w:rFonts w:ascii="Times New Roman" w:hAnsi="Times New Roman"/>
          <w:sz w:val="20"/>
        </w:rPr>
        <w:t xml:space="preserve"> shall be delivered to the participating Lender)) as though it were also a Lender thereunder, and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Lender under this Agreement, and </w:t>
      </w:r>
      <w:r>
        <w:rPr>
          <w:rFonts w:ascii="Times New Roman" w:hAnsi="Times New Roman"/>
          <w:sz w:val="20"/>
          <w:u w:val="single"/>
        </w:rPr>
        <w:t>Section 11.10</w:t>
      </w:r>
      <w:r>
        <w:rPr>
          <w:rFonts w:ascii="Times New Roman" w:hAnsi="Times New Roman"/>
          <w:sz w:val="20"/>
        </w:rPr>
        <w:t xml:space="preserve"> of this Agreement shall apply to such Participant as if it were a Lender party hereto. </w:t>
      </w:r>
    </w:p>
    <w:p>
      <w:pPr>
        <w:pStyle w:val="TextBody"/>
        <w:bidi w:val="0"/>
        <w:spacing w:before="240" w:after="0"/>
        <w:jc w:val="left"/>
        <w:rPr>
          <w:rFonts w:ascii="Times New Roman" w:hAnsi="Times New Roman"/>
          <w:sz w:val="20"/>
        </w:rPr>
      </w:pPr>
      <w:r>
        <w:rPr>
          <w:rFonts w:ascii="Times New Roman" w:hAnsi="Times New Roman"/>
          <w:sz w:val="20"/>
        </w:rPr>
        <w:t xml:space="preserve">(4) Notwithstanding any other provision contained in this Agreement or any other Loan Document to the contrary, any Lender may pledge and/or assign all or any portion of its rights and obligations under this Agreement and the other Loan Documents (including all or a portion of its Commitments and the Loans owing to it) to any Federal Reserve Bank or other central bank or the United States Treasury as collateral security pursuant to Regulation A of the Board of Governors of the Federal Reserve System and any Operating Circular issued by such Federal Reserve Bank or other central bank, </w:t>
      </w:r>
      <w:r>
        <w:rPr>
          <w:rFonts w:ascii="Times New Roman" w:hAnsi="Times New Roman"/>
          <w:sz w:val="20"/>
          <w:u w:val="single"/>
        </w:rPr>
        <w:t>provided</w:t>
      </w:r>
      <w:r>
        <w:rPr>
          <w:rFonts w:ascii="Times New Roman" w:hAnsi="Times New Roman"/>
          <w:sz w:val="20"/>
        </w:rPr>
        <w:t xml:space="preserve"> that any payment in respect of such pledged and assigned interests made by the Borrower to or for the account of the assigning and/or pledging Lender in accordance with the terms of this Agreement shall satisfy the Borrower’s obligations hereunder in respect to such assigned interests to the extent of such payment. No such pledge or assignment shall release the assigning Lender from its obligations hereunder. </w:t>
      </w:r>
    </w:p>
    <w:p>
      <w:pPr>
        <w:pStyle w:val="TextBody"/>
        <w:bidi w:val="0"/>
        <w:spacing w:before="240" w:after="0"/>
        <w:jc w:val="left"/>
        <w:rPr>
          <w:rFonts w:ascii="Times New Roman" w:hAnsi="Times New Roman"/>
          <w:sz w:val="20"/>
        </w:rPr>
      </w:pPr>
      <w:r>
        <w:rPr>
          <w:rFonts w:ascii="Times New Roman" w:hAnsi="Times New Roman"/>
          <w:sz w:val="20"/>
        </w:rPr>
        <w:t>(5) Each Lender that sells a participation shall, acting solely for this purpose as a non-fiduciary agent of the Borrower, maintain at one of its offices a register on which it enters the names and addresses of each Participant and the principal amounts (and stated interest) of each Participant’s interest in the Loans or other obligations under this Agreement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pursuant to the terms hereof as the owner of such participation for all purposes of this Agreement, notwithstanding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(6) No Lender may assign or otherwise transfer any of its rights or obligations hereunder except (i) to an assignee in accordance with the provisions of paragraph (1) of this </w:t>
      </w:r>
      <w:r>
        <w:rPr>
          <w:rFonts w:ascii="Times New Roman" w:hAnsi="Times New Roman"/>
          <w:sz w:val="20"/>
          <w:u w:val="single"/>
        </w:rPr>
        <w:t>Section 11.8</w:t>
      </w:r>
      <w:r>
        <w:rPr>
          <w:rFonts w:ascii="Times New Roman" w:hAnsi="Times New Roman"/>
          <w:sz w:val="20"/>
        </w:rPr>
        <w:t xml:space="preserve">, (ii) by way of participation in accordance with the provisions of paragraphs (3) and (5) of this </w:t>
      </w:r>
      <w:r>
        <w:rPr>
          <w:rFonts w:ascii="Times New Roman" w:hAnsi="Times New Roman"/>
          <w:sz w:val="20"/>
          <w:u w:val="single"/>
        </w:rPr>
        <w:t>Section 11.8</w:t>
      </w:r>
      <w:r>
        <w:rPr>
          <w:rFonts w:ascii="Times New Roman" w:hAnsi="Times New Roman"/>
          <w:sz w:val="20"/>
        </w:rPr>
        <w:t xml:space="preserve">, or (iii) by way of assignment of a security interest subject to the restrictions of paragraph (4) of this </w:t>
      </w:r>
      <w:r>
        <w:rPr>
          <w:rFonts w:ascii="Times New Roman" w:hAnsi="Times New Roman"/>
          <w:sz w:val="20"/>
          <w:u w:val="single"/>
        </w:rPr>
        <w:t>Section 11.8</w:t>
      </w:r>
      <w:r>
        <w:rPr>
          <w:rFonts w:ascii="Times New Roman" w:hAnsi="Times New Roman"/>
          <w:sz w:val="20"/>
        </w:rPr>
        <w:t xml:space="preserve"> (and any other attempted assignment or transfer by any party hereto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A Participant shall not be entitled to receive any greater payment under </w:t>
      </w:r>
      <w:r>
        <w:rPr>
          <w:rFonts w:ascii="Times New Roman" w:hAnsi="Times New Roman"/>
          <w:sz w:val="20"/>
          <w:u w:val="single"/>
        </w:rPr>
        <w:t>Section 2.7</w:t>
      </w:r>
      <w:r>
        <w:rPr>
          <w:rFonts w:ascii="Times New Roman" w:hAnsi="Times New Roman"/>
          <w:sz w:val="20"/>
        </w:rPr>
        <w:t xml:space="preserve"> or </w:t>
      </w:r>
      <w:r>
        <w:rPr>
          <w:rFonts w:ascii="Times New Roman" w:hAnsi="Times New Roman"/>
          <w:sz w:val="20"/>
          <w:u w:val="single"/>
        </w:rPr>
        <w:t>2.10</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MAC’s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11.9. </w:t>
      </w:r>
      <w:r>
        <w:rPr>
          <w:rFonts w:ascii="Times New Roman" w:hAnsi="Times New Roman"/>
          <w:sz w:val="20"/>
          <w:u w:val="single"/>
        </w:rPr>
        <w:t>Counterparts; Electronic Execution</w:t>
      </w:r>
      <w:r>
        <w:rPr>
          <w:rFonts w:ascii="Times New Roman" w:hAnsi="Times New Roman"/>
          <w:sz w:val="20"/>
        </w:rPr>
        <w:t xml:space="preserve">.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or in electronic (i.e., “pdf” or “tif”) format shall be effective as delivery of a manually executed counterpart of this Agreement. The words “execution,” “signed,” “signature,” and words of like import in this Agreement and the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Administrative Agent may also require that any such documents and signatures delivered by facsimile or other electronic transmission be confirmed by a manually signed original thereof; </w:t>
      </w:r>
      <w:r>
        <w:rPr>
          <w:rFonts w:ascii="Times New Roman" w:hAnsi="Times New Roman"/>
          <w:i/>
          <w:sz w:val="20"/>
        </w:rPr>
        <w:t>provided</w:t>
      </w:r>
      <w:r>
        <w:rPr>
          <w:rFonts w:ascii="Times New Roman" w:hAnsi="Times New Roman"/>
          <w:sz w:val="20"/>
        </w:rPr>
        <w:t xml:space="preserve"> that the failure to request or deliver the same shall not limit the effectiveness of any document or signature delivered by facsimile or other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11.10. </w:t>
      </w:r>
      <w:r>
        <w:rPr>
          <w:rFonts w:ascii="Times New Roman" w:hAnsi="Times New Roman"/>
          <w:sz w:val="20"/>
          <w:u w:val="single"/>
        </w:rPr>
        <w:t>Sharing of Payments</w:t>
      </w:r>
      <w:r>
        <w:rPr>
          <w:rFonts w:ascii="Times New Roman" w:hAnsi="Times New Roman"/>
          <w:sz w:val="20"/>
        </w:rPr>
        <w:t xml:space="preserve">. If any Lender or any Issuing Lender shall receive and retain any payment, whether by setoff, application of deposit balance or security, or otherwise, in respect of the Obligations in excess of such Lender’s or such Issuing Lender’s Applicable Revolving Percentage, then such Lender or such Issuing Lender shall purchase from the other Revolving Lenders, for cash and at face value and without recourse, such participation in the Obligations held by them as shall be necessary to cause such excess payment to be shared ratably as aforesaid with each of them; </w:t>
      </w:r>
      <w:r>
        <w:rPr>
          <w:rFonts w:ascii="Times New Roman" w:hAnsi="Times New Roman"/>
          <w:sz w:val="20"/>
          <w:u w:val="single"/>
        </w:rPr>
        <w:t>provided</w:t>
      </w:r>
      <w:r>
        <w:rPr>
          <w:rFonts w:ascii="Times New Roman" w:hAnsi="Times New Roman"/>
          <w:sz w:val="20"/>
        </w:rPr>
        <w:t xml:space="preserve">, that if such excess payment or part thereof is thereafter recovered from such purchasing Lender or Issuing Lender, the related purchases from the other Lenders shall be rescinded ratably and the purchase price restored as to the portion of such excess payment so recovered, but without interest. Each Lender, each Issuing Lender and each Agent is hereby authorized by the Borrower Parties to exercise any and all rights of setoff, counterclaim or bankers’ lien against the full amount of the Obligations, whether or not held by such Lender, such Issuing Lender or such Agent. Each of the Lenders and the Issuing Lenders hereby agree to exercise any such rights first against the Obligations and only then to any other Indebtedness of the Borrower to such Lender or such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11.11. </w:t>
      </w:r>
      <w:r>
        <w:rPr>
          <w:rFonts w:ascii="Times New Roman" w:hAnsi="Times New Roman"/>
          <w:sz w:val="20"/>
          <w:u w:val="single"/>
        </w:rPr>
        <w:t>Confidentiality</w:t>
      </w:r>
      <w:r>
        <w:rPr>
          <w:rFonts w:ascii="Times New Roman" w:hAnsi="Times New Roman"/>
          <w:sz w:val="20"/>
        </w:rPr>
        <w:t xml:space="preserve">. Each Lender and each Issuing Lender agrees to take normal and reasonable precautions and exercise due care to maintain the confidentiality of all information provided to it by any of the Borrower Parties or by the Administrative Agent on the Borrower Parties’ behalf, in connection with this Agreement or any other Loan Document, and neither it nor any of its Affiliates shall use any such information for any purpose or in any manner other than pursuant to the terms contemplated by this Agreement, except to the extent such information: (1) was or becomes generally available to the public other than as a result of a disclosure by any Lender or any Issuing Lender or any prospective Lender, or (2) was or becomes available from a source other than the Borrower Parties not known to the Lenders or the Issuing Lenders to be in breach of an obligation of confidentiality to the Borrower Parties in the disclosure of such information. Nothing contained herein shall restrict any Lender or any Issuing Lender from disclosing such information (i) at the request or pursuant to any requirement of any Governmental Authority or self-regulatory authority; (ii) pursuant to subpoena or other court process; (iii) when required to do so in accordance with the provisions of any applicable Requirement of Law; (iv) to the extent reasonably required in connection with any litigation or proceeding to which the Administrative Agent, the Collateral, Agent, any Issuing Lender, any Lender or their respective Affiliates may be party; (v) to the extent reasonably required in connection with the exercise of any remedy hereunder or under any other Loan Document; (vi) to such Lender’s or such Issuing Lender’s Affiliates and to their and their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(vii) to the extent such disclosure is otherwise consented to by the Borrower; (viii) to any rating agency when required by it, </w:t>
      </w:r>
      <w:r>
        <w:rPr>
          <w:rFonts w:ascii="Times New Roman" w:hAnsi="Times New Roman"/>
          <w:sz w:val="20"/>
          <w:u w:val="single"/>
        </w:rPr>
        <w:t>provided</w:t>
      </w:r>
      <w:r>
        <w:rPr>
          <w:rFonts w:ascii="Times New Roman" w:hAnsi="Times New Roman"/>
          <w:sz w:val="20"/>
        </w:rPr>
        <w:t xml:space="preserve"> that, prior to any disclosure, such rating agency shall undertake in writing to preserve the confidentiality of any confidential information relating to the Borrower Parties received by it from any Agent or any Lender; (ix) to the other parties to this Agreement; (x) to bank trade publications (in the case of this clause (x), such information limited to deal terms and other information customarily found in such publications); (xi) to any permitted pledgee under </w:t>
      </w:r>
      <w:r>
        <w:rPr>
          <w:rFonts w:ascii="Times New Roman" w:hAnsi="Times New Roman"/>
          <w:sz w:val="20"/>
          <w:u w:val="single"/>
        </w:rPr>
        <w:t>Section 11.8(4)</w:t>
      </w:r>
      <w:r>
        <w:rPr>
          <w:rFonts w:ascii="Times New Roman" w:hAnsi="Times New Roman"/>
          <w:sz w:val="20"/>
        </w:rPr>
        <w:t xml:space="preserve">; or (xii) to any Participant or Assignee and to any prospective Participant or Assignee (other than any Disqualified Institution unless an assignment or participation to such Disqualified Institution would be permitted at such time) or to any direct or indirect contractual counterparties (or the professional advisors thereto) to any swap, derivative or insurance transaction, or other transaction under which payments are to be made by reference to the Borrower Parties and their obligations hereunder, this Agreement or payments hereunder, </w:t>
      </w:r>
      <w:r>
        <w:rPr>
          <w:rFonts w:ascii="Times New Roman" w:hAnsi="Times New Roman"/>
          <w:sz w:val="20"/>
          <w:u w:val="single"/>
        </w:rPr>
        <w:t>provided</w:t>
      </w:r>
      <w:r>
        <w:rPr>
          <w:rFonts w:ascii="Times New Roman" w:hAnsi="Times New Roman"/>
          <w:sz w:val="20"/>
        </w:rPr>
        <w:t xml:space="preserve"> that each Participant and Assignee, prospective Participant or Assignee or contractual counterparty first agrees to be bound by the provisions of this </w:t>
      </w:r>
      <w:r>
        <w:rPr>
          <w:rFonts w:ascii="Times New Roman" w:hAnsi="Times New Roman"/>
          <w:sz w:val="20"/>
          <w:u w:val="single"/>
        </w:rPr>
        <w:t>Section 11.11</w:t>
      </w:r>
      <w:r>
        <w:rPr>
          <w:rFonts w:ascii="Times New Roman" w:hAnsi="Times New Roman"/>
          <w:sz w:val="20"/>
        </w:rPr>
        <w:t xml:space="preserve"> or to confidentiality provisions that are at least as restrictive as this </w:t>
      </w:r>
      <w:r>
        <w:rPr>
          <w:rFonts w:ascii="Times New Roman" w:hAnsi="Times New Roman"/>
          <w:sz w:val="20"/>
          <w:u w:val="single"/>
        </w:rPr>
        <w:t>Section 11.11</w:t>
      </w:r>
      <w:r>
        <w:rPr>
          <w:rFonts w:ascii="Times New Roman" w:hAnsi="Times New Roman"/>
          <w:sz w:val="20"/>
        </w:rPr>
        <w:t xml:space="preserve">. For the avoidance of doubt, nothing in this </w:t>
      </w:r>
      <w:r>
        <w:rPr>
          <w:rFonts w:ascii="Times New Roman" w:hAnsi="Times New Roman"/>
          <w:sz w:val="20"/>
          <w:u w:val="single"/>
        </w:rPr>
        <w:t>Section 11.11</w:t>
      </w:r>
      <w:r>
        <w:rPr>
          <w:rFonts w:ascii="Times New Roman" w:hAnsi="Times New Roman"/>
          <w:sz w:val="20"/>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sz w:val="20"/>
          <w:u w:val="single"/>
        </w:rPr>
        <w:t>Regulatory Authority</w:t>
      </w:r>
      <w:r>
        <w:rPr>
          <w:rFonts w:ascii="Times New Roman" w:hAnsi="Times New Roman"/>
          <w:sz w:val="20"/>
        </w:rPr>
        <w:t xml:space="preserve">”) to the extent that any such prohibition on disclosure set forth in this </w:t>
      </w:r>
      <w:r>
        <w:rPr>
          <w:rFonts w:ascii="Times New Roman" w:hAnsi="Times New Roman"/>
          <w:sz w:val="20"/>
          <w:u w:val="single"/>
        </w:rPr>
        <w:t>Section 11.11</w:t>
      </w:r>
      <w:r>
        <w:rPr>
          <w:rFonts w:ascii="Times New Roman" w:hAnsi="Times New Roman"/>
          <w:sz w:val="20"/>
        </w:rPr>
        <w:t xml:space="preserve"> shall be prohibited by the laws or regulations applicable to such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11.12. </w:t>
      </w:r>
      <w:r>
        <w:rPr>
          <w:rFonts w:ascii="Times New Roman" w:hAnsi="Times New Roman"/>
          <w:sz w:val="20"/>
          <w:u w:val="single"/>
        </w:rPr>
        <w:t>Consent to Jurisdiction</w:t>
      </w:r>
      <w:r>
        <w:rPr>
          <w:rFonts w:ascii="Times New Roman" w:hAnsi="Times New Roman"/>
          <w:sz w:val="20"/>
        </w:rPr>
        <w:t xml:space="preserve">. SUBJECT TO CLAUSE (E) OF THE FOLLOWING SENTENCE, ALL JUDICIAL PROCEEDINGS BROUGHT AGAINST ANY PARTY ARISING OUT OF OR RELATING HERETO OR ANY OTHER LOAN DOCUMENTS, ANY OF THE OBLIGATIONS, AND/OR ANY CLAIMS, CONTROVERSIES, DISPUTES OR CAUSES OF ACTION (WHETHER IN CONTRACT, TORT OR OTHERWISE AND IN LAW OR EQUITY) BASED UPON, ARISING OUT OF OR RELATING TO THIS AGREEMENT OR ANY OTHER LOAN DOCUMENT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HEREBY AND THEREBY SHALL BE BROUGHT IN ANY STATE OR FEDERAL COURT OF COMPETENT JURISDICTION IN THE STATE, COUNTY AND CITY OF NEW YORK. BY EXECUTING AND DELIVERING THIS AGREEMENT AND/OR THE OTHER LOAN DOCUMENTS, EACH BORROWER PARTY, FOR ITSELF AND IN CONNECTION WITH ITS PROPERTIES, IRREVOCABLY (A) ACCEPTS GENERALLY AND UNCONDITIONALLY THE EXCLUSIVE JURISDICTION AND VENUE OF SUCH COURTS (OTHER THAN WITH RESPECT TO ACTIONS BY ANY AGENT IN RESPECT OF RIGHTS UNDER ANY SECURITY AGREEMENT GOVERNED BY A LAW OTHER THAN THE LAWS OF THE STATE OF NEW YORK OR WITH RESPECT TO ANY COLLATERAL SUBJECT THERETO); (B) WAIVES ANY DEFENSE OF FORUM NON CONVENIENS; (C) AGREES THAT SERVICE OF ALL PROCESS IN ANY SUCH PROCEEDING IN ANY SUCH COURT MAY BE MADE BY REGISTERED OR CERTIFIED MAIL, RETURN RECEIPT REQUESTED, TO THE APPLICABLE BORROWER PARTY AT ITS ADDRESS PROVIDED IN ACCORDANCE WITH SECTION 11.6; (D) AGREES THAT SERVICE AS PROVIDED IN CLAUSE (C) ABOVE IS SUFFICIENT TO CONFER PERSONAL JURISDICTION OVER THE APPLICABLE BORROWER PARTY IN ANY SUCH PROCEEDING IN ANY SUCH COURT, AND OTHERWISE CONSTITUTES EFFECTIVE AND BINDING SERVICE IN EVERY RESPECT; AND (E) AGREES THAT AGENTS AND LENDERS RETAIN THE RIGHT TO SERVE PROCESS IN ANY OTHER MANNER PERMITTED BY LAW OR TO BRING PROCEEDINGS AGAINST ANY BORROWER PARTY IN THE COURTS OF ANY OTHER JURISDICTION IN CONNECTION WITH THE EXERCISE OF ANY RIGHTS UNDER ANY LOAN DOCUMENT OR THE ENFORCEMENT OF ANY JUDGMENT. </w:t>
      </w:r>
    </w:p>
    <w:p>
      <w:pPr>
        <w:pStyle w:val="TextBody"/>
        <w:bidi w:val="0"/>
        <w:spacing w:before="240" w:after="0"/>
        <w:jc w:val="left"/>
        <w:rPr>
          <w:rFonts w:ascii="Times New Roman" w:hAnsi="Times New Roman"/>
          <w:sz w:val="20"/>
        </w:rPr>
      </w:pPr>
      <w:r>
        <w:rPr>
          <w:rFonts w:ascii="Times New Roman" w:hAnsi="Times New Roman"/>
          <w:sz w:val="20"/>
        </w:rPr>
        <w:t xml:space="preserve">11.13. </w:t>
      </w:r>
      <w:r>
        <w:rPr>
          <w:rFonts w:ascii="Times New Roman" w:hAnsi="Times New Roman"/>
          <w:sz w:val="20"/>
          <w:u w:val="single"/>
        </w:rPr>
        <w:t>Waiver of Jury Trial</w:t>
      </w:r>
      <w:r>
        <w:rPr>
          <w:rFonts w:ascii="Times New Roman" w:hAnsi="Times New Roman"/>
          <w:sz w:val="20"/>
        </w:rPr>
        <w:t xml:space="preserve">. EACH OF THE BORROWER PARTIES, THE ADMINISTRATIVE AGENT, THE ISSUING LENDERS AND THE LENDERS EACH WAIVE THEIR RESPECTIVE RIGHTS TO A TRIAL BY JURY OF ANY CLAIMS, CONTROVERSIES, DISPUTES OR CAUSES OF ACTION (WHETHER IN CONTRACT, TORT OR OTHERWISE AND IN LAW OR EQUITY) BASED UPON, ARISING OUT OF OR RELATING TO THIS AGREEMENT OR ANY OTHER LOAN DOCUMENT AND THE TRANSACTIONS CONTEMPLATED HEREBY AND THEREBY, IN ANY ACTION, PROCEEDING OR OTHER LITIGATION OF ANY TYPE BROUGHT BY ANY OF THE PARTIES AGAINST ANY OTHER PARTY OR ANY PARTICIPANT OR ASSIGNEE. EACH OF THE BORROWER PARTIES, THE ADMINISTRATIVE AGENT, THE ISSUING LENDERS AND THE LENDERS EACH AGREE THAT ANY SUCH CLAIM OR CAUSE OF ACTION SHALL BE TRIED BY A COURT TRIAL WITHOUT A JURY. WITHOUT LIMITING THE FOREGOING, EACH OF SUCH PARTIES FURTHER AGREES THAT ITS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11.14. </w:t>
      </w:r>
      <w:r>
        <w:rPr>
          <w:rFonts w:ascii="Times New Roman" w:hAnsi="Times New Roman"/>
          <w:sz w:val="20"/>
          <w:u w:val="single"/>
        </w:rPr>
        <w:t>Indemnity</w:t>
      </w:r>
      <w:r>
        <w:rPr>
          <w:rFonts w:ascii="Times New Roman" w:hAnsi="Times New Roman"/>
          <w:sz w:val="20"/>
        </w:rPr>
        <w:t>. Whether or not the transactions contemplated hereby are consummated, each of the Borrower Parties shall, jointly and severally, indemnify and hold the Administrative Agent, the other Agents, each Issuing Lender and each Lender and each of their respective Related Parties (each, an “</w:t>
      </w:r>
      <w:r>
        <w:rPr>
          <w:rFonts w:ascii="Times New Roman" w:hAnsi="Times New Roman"/>
          <w:sz w:val="20"/>
          <w:u w:val="single"/>
        </w:rPr>
        <w:t>Indemnified Person</w:t>
      </w:r>
      <w:r>
        <w:rPr>
          <w:rFonts w:ascii="Times New Roman" w:hAnsi="Times New Roman"/>
          <w:sz w:val="20"/>
        </w:rPr>
        <w:t>”) harmless from and against any and all liabilities, obligations, losses, damages, penalties, actions, judgments, suits, costs, charges, expenses and disbursements (including reasonable attorney’s fees and expenses) of any kind or nature whatsoever which may at any time (including at any time following the Revolving Commitment Termination Date and the termination, resignation or replacement of the Administrative Agent, the Collateral Agent or any Issuing Lender or replacement of any Lender) be imposed on, incurred by or asserted against any such Person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the Loans or Letters of Credit (including any refusal by an Issuing Lender to honor a demand for payment under a Letter of Credit if the documents presented in connection with such demand do not strictly comply with the terms of such Letter of Credit) or the use of the proceeds thereof, whether or not any Indemnified Person is a party thereto (all the foregoing, collectively, the “</w:t>
      </w:r>
      <w:r>
        <w:rPr>
          <w:rFonts w:ascii="Times New Roman" w:hAnsi="Times New Roman"/>
          <w:sz w:val="20"/>
          <w:u w:val="single"/>
        </w:rPr>
        <w:t>Indemnified Liabilities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Borrower Parties shall only be responsible for fees and disbursements of one primary outside counsel (unless there is an actual or perceived conflict of interest, in which case another primary outside counsel shall be permitted for each group of similarly situated Persons) for the Indemnified Persons, taken as a whole, and, if reasonably necessary, one special or local counsel (unless there is an actual or perceived conflict of interest, in which case another special or local counsel shall be permitted for each group of similarly situated Persons) for the Indemnified Persons, taken as a whole, in each relevant material jurisdiction (which may include a single special counsel acting in multiple jurisdictions);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Parties shall have no obligation hereunder to any Indemnified Person with respect to Indemnified Liabilities resulting solely from (i) the gross negligence or willful misconduct of such Indemnified Person as finally determined in a nonappealable judgment by a court of competent jurisdiction, (ii) a claim not involving an act or omission of the Borrower Parties that is brought by an Indemnified Person against another Indemnified Person (provided that this clause (ii) shall not apply to any claim brought against any Agent in its capacity as such) or (iii) a claim brought by the Borrower against an Indemnified Person for a material breach of such Person’s obligations hereunder or under any other Loan Document, if the Borrower has obtained a final and nonappealable judgment in its favor on such claim as determined by a court of competent jurisdiction;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officer, director, employee, agent, consultant, investor, manager or other Person (except only the Borrower Parties) have any indemnification obligation or liability of any kind to any Indemnified Person under this </w:t>
      </w:r>
      <w:r>
        <w:rPr>
          <w:rFonts w:ascii="Times New Roman" w:hAnsi="Times New Roman"/>
          <w:sz w:val="20"/>
          <w:u w:val="single"/>
        </w:rPr>
        <w:t>Section 11.14</w:t>
      </w:r>
      <w:r>
        <w:rPr>
          <w:rFonts w:ascii="Times New Roman" w:hAnsi="Times New Roman"/>
          <w:sz w:val="20"/>
        </w:rPr>
        <w:t xml:space="preserve">. To the extent permitted by applicable law, no Borrower Party or, subject to the proviso at the end of this sentence, no Lender Party shall assert, and each Borrower Party hereby waives, any claim against each Lender Party, and each Lender Party hereby waives, any claim against each Borrower Party, in each case, in respect of any Punitive Damages and each Borrower Party and each Lender Party hereby waives, releases and agrees not to sue upon any such claim or any such Punitive Damages, whether or not accrued and whether or not known or suspected to exist in its favor;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is not in any way intended to affect the rights of the Lender Parties with respect to Punitive Damages awarded to a third party that are otherwise subject to indemnification pursuant to this </w:t>
      </w:r>
      <w:r>
        <w:rPr>
          <w:rFonts w:ascii="Times New Roman" w:hAnsi="Times New Roman"/>
          <w:sz w:val="20"/>
          <w:u w:val="single"/>
        </w:rPr>
        <w:t>Section 11.14</w:t>
      </w:r>
      <w:r>
        <w:rPr>
          <w:rFonts w:ascii="Times New Roman" w:hAnsi="Times New Roman"/>
          <w:sz w:val="20"/>
        </w:rPr>
        <w:t xml:space="preserve">. The agreements in this </w:t>
      </w:r>
      <w:r>
        <w:rPr>
          <w:rFonts w:ascii="Times New Roman" w:hAnsi="Times New Roman"/>
          <w:sz w:val="20"/>
          <w:u w:val="single"/>
        </w:rPr>
        <w:t>Section 11.14</w:t>
      </w:r>
      <w:r>
        <w:rPr>
          <w:rFonts w:ascii="Times New Roman" w:hAnsi="Times New Roman"/>
          <w:sz w:val="20"/>
        </w:rPr>
        <w:t xml:space="preserve"> shall survive payment of all other Obligations. This </w:t>
      </w:r>
      <w:r>
        <w:rPr>
          <w:rFonts w:ascii="Times New Roman" w:hAnsi="Times New Roman"/>
          <w:sz w:val="20"/>
          <w:u w:val="single"/>
        </w:rPr>
        <w:t>Section 11.14</w:t>
      </w:r>
      <w:r>
        <w:rPr>
          <w:rFonts w:ascii="Times New Roman" w:hAnsi="Times New Roman"/>
          <w:sz w:val="20"/>
        </w:rPr>
        <w:t xml:space="preserve"> shall not apply with respect to Taxes other than any Taxes that represent losses, claims, damages, etc. arising from any non-Tax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11.15. </w:t>
      </w:r>
      <w:r>
        <w:rPr>
          <w:rFonts w:ascii="Times New Roman" w:hAnsi="Times New Roman"/>
          <w:sz w:val="20"/>
          <w:u w:val="single"/>
        </w:rPr>
        <w:t>Telephonic Instruction</w:t>
      </w:r>
      <w:r>
        <w:rPr>
          <w:rFonts w:ascii="Times New Roman" w:hAnsi="Times New Roman"/>
          <w:sz w:val="20"/>
        </w:rPr>
        <w:t xml:space="preserve">. Any agreement of the Administrative Agent, the Collateral Agent, the Issuing Lenders and the Lenders herein to receive certain notices by telephone is solely for the convenience and at the request of the Borrower. The Administrative Agent, the Collateral Agent, the Issuing Lenders and the Lenders shall be entitled to rely on the authority of any Person purporting to be a Person authorized by the Borrower to give such notice and the Administrative Agent, the Collateral Agent, the Issuing Lenders and the Lenders shall not have any liability to the Borrower or other Person on account of any action taken or not taken by the Administrative Agent, the Collateral Agent, the Issuing Lenders or the Lenders in reliance upon such telephonic notice. The obligation of the Borrower to repay the Loans and the LC Disbursements shall not be affected in any way or to any extent by any failure by the Administrative Agent, the Collateral Agent, the Issuing Lenders and the Lenders to receive written confirmation of any telephonic notice or the receipt by the Administrative Agent, the Collateral Agent, the Issuing Lenders and the Lenders of a confirmation which is at variance with the terms understood by the Administrative Agent, the Collateral Agent, the Issuing Lenders and the Lenders to be contained in the telephonic notice. </w:t>
      </w:r>
    </w:p>
    <w:p>
      <w:pPr>
        <w:pStyle w:val="TextBody"/>
        <w:bidi w:val="0"/>
        <w:spacing w:before="240" w:after="0"/>
        <w:jc w:val="left"/>
        <w:rPr>
          <w:rFonts w:ascii="Times New Roman" w:hAnsi="Times New Roman"/>
          <w:sz w:val="20"/>
        </w:rPr>
      </w:pPr>
      <w:r>
        <w:rPr>
          <w:rFonts w:ascii="Times New Roman" w:hAnsi="Times New Roman"/>
          <w:sz w:val="20"/>
        </w:rPr>
        <w:t xml:space="preserve">11.16. </w:t>
      </w:r>
      <w:r>
        <w:rPr>
          <w:rFonts w:ascii="Times New Roman" w:hAnsi="Times New Roman"/>
          <w:sz w:val="20"/>
          <w:u w:val="single"/>
        </w:rPr>
        <w:t>Marshalling; Payments Set Aside</w:t>
      </w:r>
      <w:r>
        <w:rPr>
          <w:rFonts w:ascii="Times New Roman" w:hAnsi="Times New Roman"/>
          <w:sz w:val="20"/>
        </w:rPr>
        <w:t xml:space="preserve">. Neither the Administrative Agent, any other Agent, any Issuing Lender nor the Lenders shall be under any obligation to marshal any assets in favor of any of the Borrower Parties or any other Person or against or in payment of any or all of the Secured Obligations. To the extent that any of the Borrower Parties makes a payment or payments to the Administrative Agent, the Collateral Agent, the Issuing Lenders or the Lenders, or the Administrative Agent, any other Agent, any Issuing Lender or the Lenders enforce their Liens or exercise their rights of set-off, and such payment or payments or the proceeds of such enforcement or set-off or any part thereof are subsequently invalidated, declared to be fraudulent or preferential, set aside or required (including pursuant to any settlement entered into by the Administrative Agent in its discretion) to be repaid to a trustee, receiver or any other party in connection with any insolvency proceeding, or otherwise, then (1) to the extent of such recovery the obligation or part thereof originally intended to be satisfied shall be revived and continued in full force and effect as if such payment had not been made or such enforcement or set-off had not occurred, and (2) each Lender and each Issuing Lender severally agrees to pay to the Administrative Agent and/or the Collateral Agent, as applicable upon demand its ratable share of the total amount so recovered from or repaid by the Administrative Agent or the Collateral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11.17. </w:t>
      </w:r>
      <w:r>
        <w:rPr>
          <w:rFonts w:ascii="Times New Roman" w:hAnsi="Times New Roman"/>
          <w:sz w:val="20"/>
          <w:u w:val="single"/>
        </w:rPr>
        <w:t>Set-off</w:t>
      </w:r>
      <w:r>
        <w:rPr>
          <w:rFonts w:ascii="Times New Roman" w:hAnsi="Times New Roman"/>
          <w:sz w:val="20"/>
        </w:rPr>
        <w:t xml:space="preserve">. In addition to any rights and remedies of the Agents, the Lenders and the Issuing Lenders provided by law, if an Event of Default exists, each Agent, each Lender and each Issuing Lender is authorized at any time and from time to time, without prior notice to the Borrower Parties, any such notice being waived by the Borrower Parties to the fullest extent permitted by law, to set off and apply in favor of the Secured Parties any and all deposits (general or special, time or demand, provisional or final) at any time held by, and other Indebtedness at any time owing by, such Agent, such Lender or such Issuing Lender to or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or the account of the Borrower Parties against any and all Obligations owing to the Secured Parties, now or hereafter existing, irrespective of whether or not the Administrative Agent, any other Agent or such Lender or such Issuing Lender shall have made demand under this Agreement or any Loan Document and although such Obligations may be contingent or unmatured. Each Agent, each Lender and each Issuing Lender agrees promptly to (i) notify the Borrower Parties, the Administrative Agent and the Collateral Agent after any such set-off and application made by such Agent, such Lender or such Issuing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give such notice shall not affect the validity of such set-off and application and (ii) pay such amounts that are set-off to the Collateral Agent for the ratable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11.18. </w:t>
      </w:r>
      <w:r>
        <w:rPr>
          <w:rFonts w:ascii="Times New Roman" w:hAnsi="Times New Roman"/>
          <w:sz w:val="20"/>
          <w:u w:val="single"/>
        </w:rPr>
        <w:t>Severability</w:t>
      </w:r>
      <w:r>
        <w:rPr>
          <w:rFonts w:ascii="Times New Roman" w:hAnsi="Times New Roman"/>
          <w:sz w:val="20"/>
        </w:rPr>
        <w:t xml:space="preserve">. The illegality or unenforceability of any provision of this Agreement or any other Loan Document or any instrument or agreement required hereunder or thereunder shall not in any way affect or impair the legality or enforceability of the remaining provisions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11.19. </w:t>
      </w:r>
      <w:r>
        <w:rPr>
          <w:rFonts w:ascii="Times New Roman" w:hAnsi="Times New Roman"/>
          <w:sz w:val="20"/>
          <w:u w:val="single"/>
        </w:rPr>
        <w:t>No Third Parties Benefited</w:t>
      </w:r>
      <w:r>
        <w:rPr>
          <w:rFonts w:ascii="Times New Roman" w:hAnsi="Times New Roman"/>
          <w:sz w:val="20"/>
        </w:rPr>
        <w:t xml:space="preserve">. This Agreement and the other Loan Documents are made and entered into for the sole protection and legal benefit of the Borrower Parties, the Lenders, the Indemnified Persons, the Issuing Lenders and the Agents, and their permitted successors and assigns, and no other Person shall be a direct or indirect legal beneficiary of, or have any direct or indirect cause of action or claim in connection with, this Agreement or any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11.20. </w:t>
      </w:r>
      <w:r>
        <w:rPr>
          <w:rFonts w:ascii="Times New Roman" w:hAnsi="Times New Roman"/>
          <w:sz w:val="20"/>
          <w:u w:val="single"/>
        </w:rPr>
        <w:t>No Fiduciary Duty</w:t>
      </w:r>
      <w:r>
        <w:rPr>
          <w:rFonts w:ascii="Times New Roman" w:hAnsi="Times New Roman"/>
          <w:sz w:val="20"/>
        </w:rPr>
        <w:t>. Each Agent, each Lender, each Issuing Lender and their Affiliates (collectively, the “</w:t>
      </w:r>
      <w:r>
        <w:rPr>
          <w:rFonts w:ascii="Times New Roman" w:hAnsi="Times New Roman"/>
          <w:sz w:val="20"/>
          <w:u w:val="single"/>
        </w:rPr>
        <w:t>Lender Parties</w:t>
      </w:r>
      <w:r>
        <w:rPr>
          <w:rFonts w:ascii="Times New Roman" w:hAnsi="Times New Roman"/>
          <w:sz w:val="20"/>
        </w:rPr>
        <w:t xml:space="preserve">”), may have economic interests that conflict with those of the Borrower Parties, their stockholders and/or their affiliates. Each Borrower Party agrees that nothing in the Loan Documents or otherwise will be deemed to create an advisory, fiduciary or agency relationship or fiduciary or other implied duty between any Lender Party, on the one hand, and such Borrower Party, its stockholders or its affiliates, on the other. The Borrower Parties acknowledge and agree that (i) the transactions contemplated by the Loan Documents (including the exercise of rights and remedies hereunder and thereunder) are arm’s-length commercial transactions between the Lender Parties, on the one hand, and the Borrower Parties, on the other, and (ii) in connection therewith and with the process leading thereto, (x) no Lender Party has assumed an advisory or fiduciary responsibility in favor of any Borrower Party, its stockholders or its affiliates with respect to the transactions contemplated hereby (or the exercise of rights or remedies with respect thereto) or the process leading thereto (irrespective of whether any Lender Party has advised, is currently advising or will advise any Borrower Party, its stockholders or its Affiliates on other matters) or any other obligation to any Borrower Party except the obligations expressly set forth in the Loan Documents and (y) each Lender Party is acting solely as principal and not as the agent or fiduciary of any Borrower Party, its management, stockholders, creditors or any other Person. Each Borrower Party acknowledges and agrees that it has consulted its own legal and financial advisors to the extent it deemed appropriate and that it is responsible for making its own independent judgment with respect to such transactions and the process leading thereto. Each Borrower Party agrees that it will not claim that any Lender Party has rendered advisory services of any nature or respect, or owes a fiduciary or similar duty to such Borrower Party, in connection with such transaction or the process leading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11.21. </w:t>
      </w:r>
      <w:r>
        <w:rPr>
          <w:rFonts w:ascii="Times New Roman" w:hAnsi="Times New Roman"/>
          <w:sz w:val="20"/>
          <w:u w:val="single"/>
        </w:rPr>
        <w:t>PATRIOT Act; Beneficial Ownership Regulation</w:t>
      </w:r>
      <w:r>
        <w:rPr>
          <w:rFonts w:ascii="Times New Roman" w:hAnsi="Times New Roman"/>
          <w:sz w:val="20"/>
        </w:rPr>
        <w:t xml:space="preserve">. Each Lender, each Issuing Lender, the Collateral Agent and Administrative Agent (for itself and not on behalf of any Lender) hereby notifies each Borrower Party that pursuant to the requirements of the Patriot Act and the Beneficial Ownership Regulation, it is required to obtain, verify and record information that identifies each Borrower Party, which information includes the name and address of each Borrower Party and other information that will allow such Lender, such Issuing Lender, Collateral Agent or Administrative Agent, as applicable, to identify such Borrower Party in accordance with the Patriot Act and the Beneficial Ownership Regulation. Additionally, the Patriot Act, the Beneficial Ownership Regulation and federal regulations issued with respect thereto require all financial institutions to obtain, verify and record certain information that identifies individuals or business entities which open an “account” with such financial institution. Consequently, a Lender, an Issuing Lender, Collateral Agent or Administrative Agent may from time-to-time request, and the Borrower Parties shall provide to such Lender, such Issuing Lender, Collateral Agent or Administrative Agent, as applicable, such Borrower Party’s name, address, tax identification number and/or such other identification information as shall be necessary for such Lender, such Issuing Lender, Collateral Agent or Administrative Agent, as applicable, to comply with federal law. An “account” for this purpose may include, without limitation, a deposit account, cash management service, a transaction or asset account, a credit account, a loan or other extension of credit, and/or other financial services product. </w:t>
      </w:r>
    </w:p>
    <w:p>
      <w:pPr>
        <w:pStyle w:val="TextBody"/>
        <w:bidi w:val="0"/>
        <w:spacing w:before="240" w:after="0"/>
        <w:jc w:val="left"/>
        <w:rPr>
          <w:rFonts w:ascii="Times New Roman" w:hAnsi="Times New Roman"/>
          <w:sz w:val="20"/>
        </w:rPr>
      </w:pPr>
      <w:r>
        <w:rPr>
          <w:rFonts w:ascii="Times New Roman" w:hAnsi="Times New Roman"/>
          <w:sz w:val="20"/>
        </w:rPr>
        <w:t xml:space="preserve">11.22. </w:t>
      </w:r>
      <w:r>
        <w:rPr>
          <w:rFonts w:ascii="Times New Roman" w:hAnsi="Times New Roman"/>
          <w:sz w:val="20"/>
          <w:u w:val="single"/>
        </w:rPr>
        <w:t>Time</w:t>
      </w:r>
      <w:r>
        <w:rPr>
          <w:rFonts w:ascii="Times New Roman" w:hAnsi="Times New Roman"/>
          <w:sz w:val="20"/>
        </w:rPr>
        <w:t xml:space="preserve">. Time is of the essence as to each term or provision of this Agreement and each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11.23. </w:t>
      </w:r>
      <w:r>
        <w:rPr>
          <w:rFonts w:ascii="Times New Roman" w:hAnsi="Times New Roman"/>
          <w:sz w:val="20"/>
          <w:u w:val="single"/>
        </w:rPr>
        <w:t>Effectiveness of Agreement</w:t>
      </w:r>
      <w:r>
        <w:rPr>
          <w:rFonts w:ascii="Times New Roman" w:hAnsi="Times New Roman"/>
          <w:sz w:val="20"/>
        </w:rPr>
        <w:t xml:space="preserve">. This Agreement shall become effective upon satisfaction of all of the conditions set forth in </w:t>
      </w:r>
      <w:r>
        <w:rPr>
          <w:rFonts w:ascii="Times New Roman" w:hAnsi="Times New Roman"/>
          <w:sz w:val="20"/>
          <w:u w:val="single"/>
        </w:rPr>
        <w:t>Section 5.1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11.24.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(1)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(2) the effects of any Bail-in Action on any such liability, including, if applicable: liability; </w:t>
      </w:r>
    </w:p>
    <w:p>
      <w:pPr>
        <w:pStyle w:val="TextBody"/>
        <w:bidi w:val="0"/>
        <w:spacing w:before="240" w:after="0"/>
        <w:jc w:val="left"/>
        <w:rPr>
          <w:rFonts w:ascii="Times New Roman" w:hAnsi="Times New Roman"/>
          <w:sz w:val="20"/>
        </w:rPr>
      </w:pPr>
      <w:r>
        <w:rPr>
          <w:rFonts w:ascii="Times New Roman" w:hAnsi="Times New Roman"/>
          <w:sz w:val="20"/>
        </w:rPr>
        <w:t xml:space="preserve">(A) a reduction in full or in part or cancellation of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(C) the variation of the terms of such liability in connection with the exercise of the Write-Down and Conversion Powers of the applicable Resolution Authority.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08"/>
        <w:gridCol w:w="585"/>
        <w:gridCol w:w="8512"/>
      </w:tblGrid>
      <w:tr>
        <w:trPr/>
        <w:tc>
          <w:tcPr>
            <w:tcW w:w="1108" w:type="dxa"/>
            <w:tcBorders/>
            <w:vAlign w:val="center"/>
          </w:tcPr>
          <w:p>
            <w:pPr>
              <w:pStyle w:val="TableContents"/>
              <w:bidi w:val="0"/>
              <w:spacing w:before="0" w:after="283"/>
              <w:jc w:val="left"/>
              <w:rPr/>
            </w:pPr>
            <w:r>
              <w:rPr/>
              <w:t> </w:t>
            </w:r>
          </w:p>
        </w:tc>
        <w:tc>
          <w:tcPr>
            <w:tcW w:w="585" w:type="dxa"/>
            <w:tcBorders/>
          </w:tcPr>
          <w:p>
            <w:pPr>
              <w:pStyle w:val="TableContents"/>
              <w:bidi w:val="0"/>
              <w:spacing w:before="0" w:after="283"/>
              <w:jc w:val="left"/>
              <w:rPr/>
            </w:pPr>
            <w:r>
              <w:rPr/>
              <w:t>11.25.</w:t>
            </w:r>
          </w:p>
        </w:tc>
        <w:tc>
          <w:tcPr>
            <w:tcW w:w="851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Certain ERISA Matters.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Each Lender (x) represents and warrants, as of the date such Person became a Lender party hereto, to, and (y) covenants, from the date such Person became a Lender party hereto to the date such Person ceases being a Lender party hereto, for the benefit of, the Agents and their respective Affiliates, and not, for the avoidance of doubt, to or for the benefit of the Borrower or any other Borrower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(A) such Lender is not using “plan assets” (within the meaning of Section 3(42) of ERISA or otherwise for purposes of Title I of ERISA or Section 4975 of the Code) of one or more Benefit Plans in connection with the Loans, the Letters of Credit or the Commitments, </w:t>
      </w:r>
    </w:p>
    <w:p>
      <w:pPr>
        <w:pStyle w:val="TextBody"/>
        <w:bidi w:val="0"/>
        <w:spacing w:before="240" w:after="0"/>
        <w:jc w:val="left"/>
        <w:rPr>
          <w:rFonts w:ascii="Times New Roman" w:hAnsi="Times New Roman"/>
          <w:sz w:val="20"/>
        </w:rPr>
      </w:pPr>
      <w:r>
        <w:rPr>
          <w:rFonts w:ascii="Times New Roman" w:hAnsi="Times New Roman"/>
          <w:sz w:val="20"/>
        </w:rPr>
        <w:t xml:space="preserve">(B)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(2) In addition, unless either (i) sub-clause (A) in the immediately preceding clause (1) is true with respect to a Lender or (ii) a Lender has provided another representation, warranty and covenant in accordance with sub-clause (D) in the immediately preceding clause (1), such Lender further (x) represents and warrants, as of the date such Person became a Lender party hereto, and (y) covenants, from the date such Person became a Lender party hereto to the date such Person ceases being a Lender party hereto, for the benefit of, the Agents and their respective Affiliates, and not, for the avoidance of doubt, to or for the benefit of the Borrower or any other Borrower Party, that none of the Agents or any of their respective Affiliates is a fiduciary with respect to the assets of such Lender involved in the Loans, the Letters of Credit, the Commitments and this Agreement (including in connection with the reservation or exercise of any rights by any Agent under this Agreement, any Loan Document or any documents related to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11.26. </w:t>
      </w:r>
      <w:r>
        <w:rPr>
          <w:rFonts w:ascii="Times New Roman" w:hAnsi="Times New Roman"/>
          <w:sz w:val="20"/>
          <w:u w:val="single"/>
        </w:rPr>
        <w:t>Acknowledgment Regarding Any Supported QFCs</w:t>
      </w:r>
      <w:r>
        <w:rPr>
          <w:rFonts w:ascii="Times New Roman" w:hAnsi="Times New Roman"/>
          <w:sz w:val="20"/>
        </w:rPr>
        <w:t>. To the extent that the Loan Documents provide support, through a guarantee or otherwise, agreements in respect of Hedging Obligations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(1)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As used in this </w:t>
      </w:r>
      <w:r>
        <w:rPr>
          <w:rFonts w:ascii="Times New Roman" w:hAnsi="Times New Roman"/>
          <w:sz w:val="20"/>
          <w:u w:val="single"/>
        </w:rPr>
        <w:t>Section 11.26</w:t>
      </w:r>
      <w:r>
        <w:rPr>
          <w:rFonts w:ascii="Times New Roman" w:hAnsi="Times New Roman"/>
          <w:sz w:val="20"/>
        </w:rPr>
        <w:t xml:space="preserve">, the following terms have the following meanings: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of a party shall mean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 xml:space="preserve">11.27. </w:t>
      </w:r>
      <w:r>
        <w:rPr>
          <w:rFonts w:ascii="Times New Roman" w:hAnsi="Times New Roman"/>
          <w:sz w:val="20"/>
          <w:u w:val="single"/>
        </w:rPr>
        <w:t>Exculpation</w:t>
      </w:r>
      <w:r>
        <w:rPr>
          <w:rFonts w:ascii="Times New Roman" w:hAnsi="Times New Roman"/>
          <w:sz w:val="20"/>
        </w:rPr>
        <w:t xml:space="preserve">. In no event shall any officer, director, employee, agent, consultant, investor or manager of any Borrower Party nor any other Person (except only each Borrower Party) have any indemnification obligation or liability of any kind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11.28. </w:t>
      </w:r>
      <w:r>
        <w:rPr>
          <w:rFonts w:ascii="Times New Roman" w:hAnsi="Times New Roman"/>
          <w:sz w:val="20"/>
          <w:u w:val="single"/>
        </w:rPr>
        <w:t>Amendment and Restatement</w:t>
      </w:r>
      <w:r>
        <w:rPr>
          <w:rFonts w:ascii="Times New Roman" w:hAnsi="Times New Roman"/>
          <w:sz w:val="20"/>
        </w:rPr>
        <w:t xml:space="preserve">. It is the intention of each of the parties hereto that (a) the First Amended and Restated Credit Agreement be amended and restated in its entirety pursuant to this Agreement so as to preserve the perfection and priority of all Liens and security interests securing indebtedness and obligations under the First Amended and Restated Credit Agreement, (b) all Indebtedness, Obligations and Secured Obligations of the Borrower Parties hereunder and under the other Loan Documents shall be secured by the Liens and security interests evidenced under the Loan Documents (as defined in the First Amended and Restated Credit Agreement) as Modified and that such Loan Documents (as defined in the First Amended and Restated Credit Agreement) shall continue in full force and effect as so Modified, (c) each “Letter of Credit” (as defined in the First Amended and Restated Credit Agreement) that is outstanding on the Closing Date shall be continued as a Letter of Credit under this Agreement, (d) this Agreement does not constitute a novation or termination of the obligations and liabilities existing under the First Amended and Restated Credit Agreement (or serve to terminate Sections 7.6 and 11.14 of the First Amended and Restated Credit Agreement or any of the Borrower Parties’ obligations thereunder with respect to the Agents (as defined in the First Amended and Restated Credit Agreement) or the Lenders (as defined in the First Amended and Restated Credit Agreement) or any other Indemnified Persons (as defined in the First Amended and Restated Credit Agreement)) and (e) any Subsidiary that was a party to the First Amended and Restated Credit Agreement as a “Subsidiary Guarantor” and is not a signatory to this Agreement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released from any obligations under the First Amended and Restated Credit Agreement and has no obligations under this Agreement. The parties hereto further acknowledge and agree that this Agreement constitutes a Modification of the First Amended and Restated Credit Agreement made under and in accordance with the terms of Section 11.2 of the First Amended and Restated Credit Agreement. In addition, unless specifically Modified hereby or in connection herewith, each of the Loan Documents (as defined in the First Amended and Restated Credit Agreement) shall continue in full force and effect. This Agreement restates and replaces, in its entirety, the First Amended and Restated Credit Agreement; from and after the Closing Date, any reference in any of the other Loan Documents to the “Credit Agreement” or any like term shall be deemed to refer to this Agreement. Each Lender with a Revolving Commitment on the Closing Date shall be deemed to have agreed that its Revolving Commitment set forth on Schedule II hereto replaces in its entirety such Lender’s “Revolving Commitment” under the First Amended and Restated Credit Agreement (if any) and each such Lender shall further be deemed to agree (a) that the repayment in full of all outstanding “Revolving Loans” (as defined in the First Amended and Restated Credit Agreement) together with all interest, fees and other amounts accrued and payable thereon and all fees and other amounts accrued and payable in respect of all “Letters of Credit” (as defined in the First Amended and Restated Credit Agreement) under the First Amended and Restated Credit Agreement, in each case, to such date on the Closing Date constitutes the payment in full of all Obligations (as defined in the First Amended and Restated Credit Agreement) owed to it under the First Amended and Restated Credit Agreement (other than any unasserted contingent obligations that would survive the termination of the First Amended and Restated Credit Agreement), (b) to the continuance of the outstanding “Letters of Credit” (as defined in the First Amended and Restated Credit Agreement) as Letters of Credit under this Agreement, (c) that such Lender waives the right to any compensation due under Section 2.9 of the First Amended and Restated Credit Agreement solely as a result of the early repayment in full of all outstanding “Revolving Loans” (as defined in the First Amended and Restated Credit Agreement) on the Closing Date and (d) to the release of the Mortgage with respect to that certain Deed of Trust, Security Agreement, Assignment of Rents and Leases and Fixture Filing, dated April 14, 2021, as amended or modified prior to the date hereof, executed by Macerich Fresno Adjacent LP, a limited partnership organized under the laws of the state of Delaware, in favor of Commonwealth Land Title Company, as trustee for the benefit of DBNY, as collateral agent under the First Amended and Restated Credit Agreement and related Loan Documents (as defined therein), which release shall occur automatically on the Closing Date and shall be evidenced, reasonably promptly after the Closing Date, by such documents as are reasonably agreed between the Collateral Agent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ARTICLE 12.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Defined Terms</w:t>
      </w:r>
      <w:r>
        <w:rPr>
          <w:rFonts w:ascii="Times New Roman" w:hAnsi="Times New Roman"/>
          <w:sz w:val="20"/>
        </w:rPr>
        <w:t xml:space="preserve">. For purposes of this Agreement and, except as otherwise set forth therein, the other Loan Documents, the terms set forth below shall have the following meanings: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2026 QCI OM” shall mean the offering memorandum in respect of the Qualified Convertible Indebtedness, Qualified Bond Hedge transaction and Qualified Warrant Transaction anticipated to be entered into in August or September 2026.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6.0% Cap Rate Property</w:t>
      </w:r>
      <w:r>
        <w:rPr>
          <w:rFonts w:ascii="Times New Roman" w:hAnsi="Times New Roman"/>
          <w:sz w:val="20"/>
        </w:rPr>
        <w:t xml:space="preserve">” shall mean each of the Real Properties identified on Schedule I under the heading “6.0% Cap Rate Properties” on the Closing Date. </w:t>
      </w:r>
    </w:p>
    <w:p>
      <w:pPr>
        <w:pStyle w:val="TextBody"/>
        <w:bidi w:val="0"/>
        <w:spacing w:before="240" w:after="0"/>
        <w:jc w:val="left"/>
        <w:rPr/>
      </w:pPr>
      <w:r>
        <w:rPr/>
        <w:t>“</w:t>
      </w:r>
      <w:r>
        <w:rPr>
          <w:rFonts w:ascii="Times New Roman" w:hAnsi="Times New Roman"/>
          <w:sz w:val="20"/>
          <w:u w:val="single"/>
        </w:rPr>
        <w:t>7.0% Cap Rate Property</w:t>
      </w:r>
      <w:r>
        <w:rPr>
          <w:rFonts w:ascii="Times New Roman" w:hAnsi="Times New Roman"/>
          <w:sz w:val="20"/>
        </w:rPr>
        <w:t xml:space="preserve">” shall mean each of the Real Properties identified on Schedule I under the heading “7.0% Cap Rate Properties” on the Closing Date. </w:t>
      </w:r>
    </w:p>
    <w:p>
      <w:pPr>
        <w:pStyle w:val="TextBody"/>
        <w:bidi w:val="0"/>
        <w:spacing w:before="240" w:after="0"/>
        <w:jc w:val="left"/>
        <w:rPr/>
      </w:pPr>
      <w:r>
        <w:rPr/>
        <w:t>“</w:t>
      </w:r>
      <w:r>
        <w:rPr>
          <w:rFonts w:ascii="Times New Roman" w:hAnsi="Times New Roman"/>
          <w:sz w:val="20"/>
          <w:u w:val="single"/>
        </w:rPr>
        <w:t>10.0% Cap Rate Property</w:t>
      </w:r>
      <w:r>
        <w:rPr>
          <w:rFonts w:ascii="Times New Roman" w:hAnsi="Times New Roman"/>
          <w:sz w:val="20"/>
        </w:rPr>
        <w:t xml:space="preserve">” shall mean each of the Real Properties identified on Schedule I under the heading “10.0% Cap Rate Properties” on the Closing Date. </w:t>
      </w:r>
    </w:p>
    <w:p>
      <w:pPr>
        <w:pStyle w:val="TextBody"/>
        <w:bidi w:val="0"/>
        <w:spacing w:before="240" w:after="0"/>
        <w:jc w:val="left"/>
        <w:rPr/>
      </w:pPr>
      <w:r>
        <w:rPr/>
        <w:t>“</w:t>
      </w:r>
      <w:r>
        <w:rPr>
          <w:rFonts w:ascii="Times New Roman" w:hAnsi="Times New Roman"/>
          <w:sz w:val="20"/>
          <w:u w:val="single"/>
        </w:rPr>
        <w:t>Account Control Agreement</w:t>
      </w:r>
      <w:r>
        <w:rPr>
          <w:rFonts w:ascii="Times New Roman" w:hAnsi="Times New Roman"/>
          <w:sz w:val="20"/>
        </w:rPr>
        <w:t xml:space="preserve">” shall mean any tri-party agreement by and among the Borrower, the Collateral Agent and a depositary bank or securities intermediary at which the Borrower maintains a Controlled Account, in each case in form and substance satisfactory to the Collateral Agent. </w:t>
      </w:r>
    </w:p>
    <w:p>
      <w:pPr>
        <w:pStyle w:val="TextBody"/>
        <w:bidi w:val="0"/>
        <w:spacing w:before="240" w:after="0"/>
        <w:jc w:val="left"/>
        <w:rPr/>
      </w:pPr>
      <w:r>
        <w:rPr/>
        <w:t>“</w:t>
      </w:r>
      <w:r>
        <w:rPr>
          <w:rFonts w:ascii="Times New Roman" w:hAnsi="Times New Roman"/>
          <w:sz w:val="20"/>
          <w:u w:val="single"/>
        </w:rPr>
        <w:t>Acquisition/Appraisal Capitalization Rate</w:t>
      </w:r>
      <w:r>
        <w:rPr>
          <w:rFonts w:ascii="Times New Roman" w:hAnsi="Times New Roman"/>
          <w:sz w:val="20"/>
        </w:rPr>
        <w:t xml:space="preserve">” shall mean (a) with respect to any Borrowing Base Asset acquired following the Closing Date (for a period of two years following such acquisition), (i) if the Average Appraisal Capitalization Rate for such Borrowing Base Asset is lower than the Implied Cap Rate for such Borrowing Base Asset, the sum of (x) the Implied Cap Rate for such Borrowing Base Asset, plus (y) 1.00% and (ii) otherwise, the Adjusted Appraisal Capitalization Rate for such Borrowing Base Asset and (b) with respect to any Borrowing Base Asset (other than any Borrowing Base Asset described in the foregoing clause (a)), the Adjusted Appraisal Capitalization Rate. </w:t>
      </w:r>
    </w:p>
    <w:p>
      <w:pPr>
        <w:pStyle w:val="TextBody"/>
        <w:bidi w:val="0"/>
        <w:spacing w:before="240" w:after="0"/>
        <w:jc w:val="left"/>
        <w:rPr/>
      </w:pPr>
      <w:r>
        <w:rPr/>
        <w:t>“</w:t>
      </w:r>
      <w:r>
        <w:rPr>
          <w:rFonts w:ascii="Times New Roman" w:hAnsi="Times New Roman"/>
          <w:sz w:val="20"/>
          <w:u w:val="single"/>
        </w:rPr>
        <w:t>Act</w:t>
      </w:r>
      <w:r>
        <w:rPr>
          <w:rFonts w:ascii="Times New Roman" w:hAnsi="Times New Roman"/>
          <w:sz w:val="20"/>
        </w:rPr>
        <w:t xml:space="preserve">” shall have the meaning given such term in </w:t>
      </w:r>
      <w:r>
        <w:rPr>
          <w:rFonts w:ascii="Times New Roman" w:hAnsi="Times New Roman"/>
          <w:sz w:val="20"/>
          <w:u w:val="single"/>
        </w:rPr>
        <w:t>Section 6.13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Equity Interest Asset</w:t>
      </w:r>
      <w:r>
        <w:rPr>
          <w:rFonts w:ascii="Times New Roman" w:hAnsi="Times New Roman"/>
          <w:sz w:val="20"/>
        </w:rPr>
        <w:t xml:space="preserve">” shall mean (a) any Capital Stock that is a Pledged Equity Interest but not (x) a Borrowing Base Asset, (y) the Capital Stock of a Person that owns a Borrowing Base Mortgaged Property Asset or (z) an Additional Equity Interest Asset pursuant to the immediately following clause (b) and (b) any Capital Stock that is stated to be an “Additional Equity Interest Asset” pursuant to the definition of “Permitted Investments.” The Capital Stock of each Person that owns a Borrowing Base Mortgaged Property Asset that ceases to constitute a Borrowing Base Mortgaged Property Asset upon the occurrence of the Mortgage Security Release Event and the release of the Mortgage thereon, if such Capital Stock does not meet the Borrowing Base Criteria for a Borrowing Base Unencumbered Equity Interest Asset, shall thereafter constitute an Additional Equity Interest Asset under clause (a) of the first sentence of this definition until it becomes a Borrowing Base Asset or is released in accordance with, and subject to the conditions set forth in, </w:t>
      </w:r>
      <w:r>
        <w:rPr>
          <w:rFonts w:ascii="Times New Roman" w:hAnsi="Times New Roman"/>
          <w:sz w:val="20"/>
          <w:u w:val="single"/>
        </w:rPr>
        <w:t>Section 10.12</w:t>
      </w:r>
      <w:r>
        <w:rPr>
          <w:rFonts w:ascii="Times New Roman" w:hAnsi="Times New Roman"/>
          <w:sz w:val="20"/>
        </w:rPr>
        <w:t xml:space="preserve"> hereof (and, for the avoidance of doubt, shall not be released solely as a result of the occurrence of the Mortgage Security Release Event and the release of the Mortgage on the applicable Borrowing Base Mortgaged Property Asset). </w:t>
      </w:r>
    </w:p>
    <w:p>
      <w:pPr>
        <w:pStyle w:val="TextBody"/>
        <w:bidi w:val="0"/>
        <w:spacing w:before="240" w:after="0"/>
        <w:jc w:val="left"/>
        <w:rPr/>
      </w:pPr>
      <w:r>
        <w:rPr/>
        <w:t>“</w:t>
      </w:r>
      <w:r>
        <w:rPr>
          <w:rFonts w:ascii="Times New Roman" w:hAnsi="Times New Roman"/>
          <w:sz w:val="20"/>
          <w:u w:val="single"/>
        </w:rPr>
        <w:t>Additional Equity Interest Asset Owner</w:t>
      </w:r>
      <w:r>
        <w:rPr>
          <w:rFonts w:ascii="Times New Roman" w:hAnsi="Times New Roman"/>
          <w:sz w:val="20"/>
        </w:rPr>
        <w:t xml:space="preserve">” shall mean the Person that owns and provides a pledge of the applicable Additional Equity Interest Asset.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Additional or More Restrictive Covenant” shall have the meaning given such term in Section 8.2(2).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Adjusted Appraisal Capitalization Rate</w:t>
      </w:r>
      <w:r>
        <w:rPr>
          <w:rFonts w:ascii="Times New Roman" w:hAnsi="Times New Roman"/>
          <w:sz w:val="20"/>
        </w:rPr>
        <w:t xml:space="preserve">” shall mean, with respect to any applicable Borrowing Base Asset, the sum of (x) the Average Appraisal Capitalization Rate for such Borrowing Base Asset, plus (y) 1.00%.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shall have the meaning given such term in the introductory paragraph of this Agreement.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shall mean (a) any EEA Financial Institution or (b) any UK Financial Institution. </w:t>
      </w:r>
    </w:p>
    <w:p>
      <w:pPr>
        <w:pStyle w:val="TextBody"/>
        <w:bidi w:val="0"/>
        <w:spacing w:before="240" w:after="0"/>
        <w:jc w:val="left"/>
        <w:rPr/>
      </w:pPr>
      <w:r>
        <w:rPr/>
        <w:t>“</w:t>
      </w:r>
      <w:r>
        <w:rPr>
          <w:rFonts w:ascii="Times New Roman" w:hAnsi="Times New Roman"/>
          <w:sz w:val="20"/>
          <w:u w:val="single"/>
        </w:rPr>
        <w:t>Affected Mortgaged Property</w:t>
      </w:r>
      <w:r>
        <w:rPr>
          <w:rFonts w:ascii="Times New Roman" w:hAnsi="Times New Roman"/>
          <w:sz w:val="20"/>
        </w:rPr>
        <w:t xml:space="preserve">” shall mean (a) any Mortgaged Property located in a jurisdiction that requires (i) any Mortgage filed with respect to such Mortgaged Property to set forth the principal amount secured thereby and the payment of a recording Tax or other similar Tax based on such principal amount or (ii) any Mortgage filed with respect to such Mortgaged Property to set forth the maturity date of the Secured Obligations secured thereby or (b) any other Mortgaged Property as reasonably determined by the Administrative Agent.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shall mean, as to any Person, any other Person directly or indirectly controlling, controlled by or under direct or indirect common control with, such Person. “</w:t>
      </w:r>
      <w:r>
        <w:rPr>
          <w:rFonts w:ascii="Times New Roman" w:hAnsi="Times New Roman"/>
          <w:sz w:val="20"/>
          <w:u w:val="single"/>
        </w:rPr>
        <w:t>Control</w:t>
      </w:r>
      <w:r>
        <w:rPr>
          <w:rFonts w:ascii="Times New Roman" w:hAnsi="Times New Roman"/>
          <w:sz w:val="20"/>
        </w:rPr>
        <w:t xml:space="preserve">” as used herein shall mean the power to direct the management and policies of such Person. In the case of a Lender which is a fund that invests in loans, any other fund that invests in loans which is managed by the same investment advisor as such Lender, or by another Affiliate of such Lender or such investment advisor, shall be deemed an Affiliate of such Lender. </w:t>
      </w:r>
    </w:p>
    <w:p>
      <w:pPr>
        <w:pStyle w:val="TextBody"/>
        <w:bidi w:val="0"/>
        <w:spacing w:before="240" w:after="0"/>
        <w:jc w:val="left"/>
        <w:rPr/>
      </w:pPr>
      <w:r>
        <w:rPr/>
        <w:t>“</w:t>
      </w:r>
      <w:r>
        <w:rPr>
          <w:rFonts w:ascii="Times New Roman" w:hAnsi="Times New Roman"/>
          <w:sz w:val="20"/>
          <w:u w:val="single"/>
        </w:rPr>
        <w:t>Agent Accepted Ground Lease</w:t>
      </w:r>
      <w:r>
        <w:rPr>
          <w:rFonts w:ascii="Times New Roman" w:hAnsi="Times New Roman"/>
          <w:sz w:val="20"/>
        </w:rPr>
        <w:t xml:space="preserve">” shall mean, with respect to assets proposed to be added as Borrowing Base Mortgaged Property Assets, a ground lease that satisfies all of the requirements set forth in the definition of Qualifying Ground Lease other than clause (i) thereof so long as such ground lease has a remaining term that is acceptable to, and approved by, the Administrative Agent in its sole discretion. </w:t>
      </w:r>
    </w:p>
    <w:p>
      <w:pPr>
        <w:pStyle w:val="TextBody"/>
        <w:bidi w:val="0"/>
        <w:spacing w:before="240" w:after="0"/>
        <w:jc w:val="left"/>
        <w:rPr/>
      </w:pPr>
      <w:r>
        <w:rPr/>
        <w:t>“</w:t>
      </w:r>
      <w:r>
        <w:rPr>
          <w:rFonts w:ascii="Times New Roman" w:hAnsi="Times New Roman"/>
          <w:sz w:val="20"/>
          <w:u w:val="single"/>
        </w:rPr>
        <w:t>Agent Accepted Ground Lease Borrowing Base Mortgaged Property Asset</w:t>
      </w:r>
      <w:r>
        <w:rPr>
          <w:rFonts w:ascii="Times New Roman" w:hAnsi="Times New Roman"/>
          <w:sz w:val="20"/>
        </w:rPr>
        <w:t xml:space="preserve">” shall mean, with respect to a Borrowing Base Mortgaged Property Asset, any wholly-owned (pursuant to an Agent Accepted Ground Lease) Unencumbered Property (other than with respect to Liens securing the Secured Obligations).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shall have the meaning given such term in</w:t>
      </w:r>
      <w:r>
        <w:rPr>
          <w:rFonts w:ascii="Times New Roman" w:hAnsi="Times New Roman"/>
          <w:sz w:val="20"/>
          <w:u w:val="single"/>
        </w:rPr>
        <w:t xml:space="preserve"> Section 11.6(4)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Agents</w:t>
      </w:r>
      <w:r>
        <w:rPr>
          <w:rFonts w:ascii="Times New Roman" w:hAnsi="Times New Roman"/>
          <w:sz w:val="20"/>
        </w:rPr>
        <w:t xml:space="preserve">” shall mean the Administrative Agent, the Collateral Agent, the Joint Lead Arrangers, the Co-Syndication Agents, the Co-Documentation Agents and any other Persons acting in the capacity of an agent for the Lenders or the Secured Parties under this Agreement, together with their permitted successors and assigns. </w:t>
      </w:r>
    </w:p>
    <w:p>
      <w:pPr>
        <w:pStyle w:val="TextBody"/>
        <w:bidi w:val="0"/>
        <w:spacing w:before="240" w:after="0"/>
        <w:jc w:val="left"/>
        <w:rPr/>
      </w:pPr>
      <w:r>
        <w:rPr/>
        <w:t>“</w:t>
      </w:r>
      <w:r>
        <w:rPr>
          <w:rFonts w:ascii="Times New Roman" w:hAnsi="Times New Roman"/>
          <w:sz w:val="20"/>
          <w:u w:val="single"/>
        </w:rPr>
        <w:t>Alternate Index Rate</w:t>
      </w:r>
      <w:r>
        <w:rPr>
          <w:rFonts w:ascii="Times New Roman" w:hAnsi="Times New Roman"/>
          <w:sz w:val="20"/>
        </w:rPr>
        <w:t xml:space="preserve">” shall mean, with respect to each Interest Period, the per annum rate of interest of the Benchmark Replacement, determined as of the Interest Determination Date with respect to, or on a daily basis during, as applicable, such Interest Period; provided that in no event will the Alternate Index Rate be less than the Index Floor.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Alternate Rate Loan</w:t>
      </w:r>
      <w:r>
        <w:rPr>
          <w:rFonts w:ascii="Times New Roman" w:hAnsi="Times New Roman"/>
          <w:sz w:val="20"/>
        </w:rPr>
        <w:t xml:space="preserve">”, when used in reference to any Loan, refers to whether the Loans comprising such Borrowing are bearing interest at a rate determined by reference to the Applicable Alternate Rate. </w:t>
      </w:r>
    </w:p>
    <w:p>
      <w:pPr>
        <w:pStyle w:val="TextBody"/>
        <w:bidi w:val="0"/>
        <w:spacing w:before="240" w:after="0"/>
        <w:jc w:val="left"/>
        <w:rPr/>
      </w:pPr>
      <w:r>
        <w:rPr/>
        <w:t>“</w:t>
      </w:r>
      <w:r>
        <w:rPr>
          <w:rFonts w:ascii="Times New Roman" w:hAnsi="Times New Roman"/>
          <w:sz w:val="20"/>
          <w:u w:val="single"/>
        </w:rPr>
        <w:t>Anti-Terrorism Laws</w:t>
      </w:r>
      <w:r>
        <w:rPr>
          <w:rFonts w:ascii="Times New Roman" w:hAnsi="Times New Roman"/>
          <w:sz w:val="20"/>
        </w:rPr>
        <w:t xml:space="preserve">” shall have the meaning given such term in </w:t>
      </w:r>
      <w:r>
        <w:rPr>
          <w:rFonts w:ascii="Times New Roman" w:hAnsi="Times New Roman"/>
          <w:sz w:val="20"/>
          <w:u w:val="single"/>
        </w:rPr>
        <w:t>Section 6.26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Alternate Rate</w:t>
      </w:r>
      <w:r>
        <w:rPr>
          <w:rFonts w:ascii="Times New Roman" w:hAnsi="Times New Roman"/>
          <w:sz w:val="20"/>
        </w:rPr>
        <w:t xml:space="preserve">” shall mean, with respect to any Alternate Rate Loan for the Interest Period applicable to such Alternate Rate Loan, (a) from the Closing Date until the first day of the first Interest Period commencing after the date that the Mortgage Security Release Event occurs, the per annum rate equal to the Alternate Index Rate </w:t>
      </w:r>
      <w:r>
        <w:rPr>
          <w:rFonts w:ascii="Times New Roman" w:hAnsi="Times New Roman"/>
          <w:sz w:val="20"/>
          <w:u w:val="single"/>
        </w:rPr>
        <w:t>plus</w:t>
      </w:r>
      <w:r>
        <w:rPr>
          <w:rFonts w:ascii="Times New Roman" w:hAnsi="Times New Roman"/>
          <w:sz w:val="20"/>
        </w:rPr>
        <w:t xml:space="preserve"> the percentage (per annum) set forth below which corresponds to the applicable Debt Yield as measured at the end of each Fiscal Quarter: </w:t>
      </w:r>
    </w:p>
    <w:p>
      <w:pPr>
        <w:pStyle w:val="TextBody"/>
        <w:bidi w:val="0"/>
        <w:spacing w:before="0" w:after="0"/>
        <w:jc w:val="left"/>
        <w:rPr/>
      </w:pPr>
      <w:r>
        <w:rPr/>
        <w:t> </w:t>
      </w:r>
    </w:p>
    <w:tbl>
      <w:tblPr>
        <w:tblW w:w="8165" w:type="dxa"/>
        <w:jc w:val="center"/>
        <w:tblInd w:w="0" w:type="dxa"/>
        <w:tblLayout w:type="fixed"/>
        <w:tblCellMar>
          <w:top w:w="0" w:type="dxa"/>
          <w:left w:w="0" w:type="dxa"/>
          <w:bottom w:w="0" w:type="dxa"/>
          <w:right w:w="0" w:type="dxa"/>
        </w:tblCellMar>
      </w:tblPr>
      <w:tblGrid>
        <w:gridCol w:w="980"/>
        <w:gridCol w:w="120"/>
        <w:gridCol w:w="5150"/>
        <w:gridCol w:w="120"/>
        <w:gridCol w:w="182"/>
        <w:gridCol w:w="1338"/>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20" w:type="dxa"/>
            <w:tcBorders/>
            <w:vAlign w:val="bottom"/>
          </w:tcPr>
          <w:p>
            <w:pPr>
              <w:pStyle w:val="TableContents"/>
              <w:bidi w:val="0"/>
              <w:spacing w:before="0" w:after="283"/>
              <w:jc w:val="left"/>
              <w:rPr/>
            </w:pPr>
            <w:r>
              <w:rPr/>
              <w:t>  </w:t>
            </w:r>
          </w:p>
        </w:tc>
        <w:tc>
          <w:tcPr>
            <w:tcW w:w="5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Debt Yield</w:t>
            </w:r>
          </w:p>
        </w:tc>
        <w:tc>
          <w:tcPr>
            <w:tcW w:w="12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Alternate Rate</w:t>
              <w:br/>
              <w:t>Spread</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w:t>
            </w:r>
          </w:p>
        </w:tc>
        <w:tc>
          <w:tcPr>
            <w:tcW w:w="120" w:type="dxa"/>
            <w:tcBorders/>
            <w:shd w:fill="CCEEFF" w:val="clear"/>
            <w:vAlign w:val="bottom"/>
          </w:tcPr>
          <w:p>
            <w:pPr>
              <w:pStyle w:val="TableContents"/>
              <w:bidi w:val="0"/>
              <w:spacing w:before="0" w:after="283"/>
              <w:jc w:val="left"/>
              <w:rPr/>
            </w:pPr>
            <w:r>
              <w:rPr/>
              <w:t>  </w:t>
            </w:r>
          </w:p>
        </w:tc>
        <w:tc>
          <w:tcPr>
            <w:tcW w:w="5150" w:type="dxa"/>
            <w:tcBorders/>
            <w:shd w:fill="CCEEFF" w:val="clear"/>
            <w:vAlign w:val="bottom"/>
          </w:tcPr>
          <w:p>
            <w:pPr>
              <w:pStyle w:val="TableContents"/>
              <w:bidi w:val="0"/>
              <w:spacing w:before="0" w:after="283"/>
              <w:jc w:val="left"/>
              <w:rPr/>
            </w:pPr>
            <w:r>
              <w:rPr/>
              <w:t>Greater than or equal to 14.00%</w:t>
            </w:r>
          </w:p>
        </w:tc>
        <w:tc>
          <w:tcPr>
            <w:tcW w:w="12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1.80</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pPr>
            <w:r>
              <w:rPr/>
              <w:t>II</w:t>
            </w:r>
          </w:p>
        </w:tc>
        <w:tc>
          <w:tcPr>
            <w:tcW w:w="120" w:type="dxa"/>
            <w:tcBorders/>
            <w:vAlign w:val="bottom"/>
          </w:tcPr>
          <w:p>
            <w:pPr>
              <w:pStyle w:val="TableContents"/>
              <w:bidi w:val="0"/>
              <w:spacing w:before="0" w:after="283"/>
              <w:jc w:val="left"/>
              <w:rPr/>
            </w:pPr>
            <w:r>
              <w:rPr/>
              <w:t>  </w:t>
            </w:r>
          </w:p>
        </w:tc>
        <w:tc>
          <w:tcPr>
            <w:tcW w:w="5150" w:type="dxa"/>
            <w:tcBorders/>
            <w:vAlign w:val="bottom"/>
          </w:tcPr>
          <w:p>
            <w:pPr>
              <w:pStyle w:val="TableContents"/>
              <w:bidi w:val="0"/>
              <w:spacing w:before="0" w:after="283"/>
              <w:jc w:val="left"/>
              <w:rPr/>
            </w:pPr>
            <w:r>
              <w:rPr/>
              <w:t>Less than 14.00% and greater than or equal to 12.00%</w:t>
            </w:r>
          </w:p>
        </w:tc>
        <w:tc>
          <w:tcPr>
            <w:tcW w:w="12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1.90</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III</w:t>
            </w:r>
          </w:p>
        </w:tc>
        <w:tc>
          <w:tcPr>
            <w:tcW w:w="120" w:type="dxa"/>
            <w:tcBorders/>
            <w:shd w:fill="CCEEFF" w:val="clear"/>
            <w:vAlign w:val="bottom"/>
          </w:tcPr>
          <w:p>
            <w:pPr>
              <w:pStyle w:val="TableContents"/>
              <w:bidi w:val="0"/>
              <w:spacing w:before="0" w:after="283"/>
              <w:jc w:val="left"/>
              <w:rPr/>
            </w:pPr>
            <w:r>
              <w:rPr/>
              <w:t>  </w:t>
            </w:r>
          </w:p>
        </w:tc>
        <w:tc>
          <w:tcPr>
            <w:tcW w:w="5150" w:type="dxa"/>
            <w:tcBorders/>
            <w:shd w:fill="CCEEFF" w:val="clear"/>
            <w:vAlign w:val="bottom"/>
          </w:tcPr>
          <w:p>
            <w:pPr>
              <w:pStyle w:val="TableContents"/>
              <w:bidi w:val="0"/>
              <w:spacing w:before="0" w:after="283"/>
              <w:jc w:val="left"/>
              <w:rPr/>
            </w:pPr>
            <w:r>
              <w:rPr/>
              <w:t>Less than 12.00%</w:t>
            </w:r>
          </w:p>
        </w:tc>
        <w:tc>
          <w:tcPr>
            <w:tcW w:w="12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2.20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(b) from and after the first day of the first Interest Period commencing after the date that the Mortgage Security Release Event occurs, the per annum rate equal to the Alternate Index Rate </w:t>
      </w:r>
      <w:r>
        <w:rPr>
          <w:rFonts w:ascii="Times New Roman" w:hAnsi="Times New Roman"/>
          <w:sz w:val="20"/>
          <w:u w:val="single"/>
        </w:rPr>
        <w:t>plus</w:t>
      </w:r>
      <w:r>
        <w:rPr>
          <w:rFonts w:ascii="Times New Roman" w:hAnsi="Times New Roman"/>
          <w:sz w:val="20"/>
        </w:rPr>
        <w:t xml:space="preserve"> the percentage (per annum) set forth below which corresponds to the applicable Total Leverage Ratio as measured at the end of each Fiscal Quarter: </w:t>
      </w:r>
    </w:p>
    <w:p>
      <w:pPr>
        <w:pStyle w:val="TextBody"/>
        <w:bidi w:val="0"/>
        <w:spacing w:before="0" w:after="0"/>
        <w:jc w:val="left"/>
        <w:rPr/>
      </w:pPr>
      <w:r>
        <w:rPr/>
        <w:t> </w:t>
      </w:r>
    </w:p>
    <w:tbl>
      <w:tblPr>
        <w:tblW w:w="8465" w:type="dxa"/>
        <w:jc w:val="center"/>
        <w:tblInd w:w="0" w:type="dxa"/>
        <w:tblLayout w:type="fixed"/>
        <w:tblCellMar>
          <w:top w:w="0" w:type="dxa"/>
          <w:left w:w="0" w:type="dxa"/>
          <w:bottom w:w="0" w:type="dxa"/>
          <w:right w:w="0" w:type="dxa"/>
        </w:tblCellMar>
      </w:tblPr>
      <w:tblGrid>
        <w:gridCol w:w="980"/>
        <w:gridCol w:w="120"/>
        <w:gridCol w:w="5450"/>
        <w:gridCol w:w="120"/>
        <w:gridCol w:w="182"/>
        <w:gridCol w:w="1338"/>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20" w:type="dxa"/>
            <w:tcBorders/>
            <w:vAlign w:val="bottom"/>
          </w:tcPr>
          <w:p>
            <w:pPr>
              <w:pStyle w:val="TableContents"/>
              <w:bidi w:val="0"/>
              <w:spacing w:before="0" w:after="283"/>
              <w:jc w:val="left"/>
              <w:rPr/>
            </w:pPr>
            <w:r>
              <w:rPr/>
              <w:t>  </w:t>
            </w:r>
          </w:p>
        </w:tc>
        <w:tc>
          <w:tcPr>
            <w:tcW w:w="54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Total Leverage Ratio</w:t>
            </w:r>
          </w:p>
        </w:tc>
        <w:tc>
          <w:tcPr>
            <w:tcW w:w="12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Alternate Rate</w:t>
              <w:br/>
              <w:t>Spread</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w:t>
            </w:r>
          </w:p>
        </w:tc>
        <w:tc>
          <w:tcPr>
            <w:tcW w:w="120" w:type="dxa"/>
            <w:tcBorders/>
            <w:shd w:fill="CCEEFF" w:val="clear"/>
            <w:vAlign w:val="bottom"/>
          </w:tcPr>
          <w:p>
            <w:pPr>
              <w:pStyle w:val="TableContents"/>
              <w:bidi w:val="0"/>
              <w:spacing w:before="0" w:after="283"/>
              <w:jc w:val="left"/>
              <w:rPr/>
            </w:pPr>
            <w:r>
              <w:rPr/>
              <w:t>  </w:t>
            </w:r>
          </w:p>
        </w:tc>
        <w:tc>
          <w:tcPr>
            <w:tcW w:w="5450" w:type="dxa"/>
            <w:tcBorders/>
            <w:shd w:fill="CCEEFF" w:val="clear"/>
            <w:vAlign w:val="bottom"/>
          </w:tcPr>
          <w:p>
            <w:pPr>
              <w:pStyle w:val="TableContents"/>
              <w:bidi w:val="0"/>
              <w:spacing w:before="0" w:after="283"/>
              <w:jc w:val="left"/>
              <w:rPr/>
            </w:pPr>
            <w:r>
              <w:rPr/>
              <w:t>Less than 5.50:1.00</w:t>
            </w:r>
          </w:p>
        </w:tc>
        <w:tc>
          <w:tcPr>
            <w:tcW w:w="12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pPr>
            <w:r>
              <w:rPr/>
              <w:t>II</w:t>
            </w:r>
          </w:p>
        </w:tc>
        <w:tc>
          <w:tcPr>
            <w:tcW w:w="120" w:type="dxa"/>
            <w:tcBorders/>
            <w:vAlign w:val="bottom"/>
          </w:tcPr>
          <w:p>
            <w:pPr>
              <w:pStyle w:val="TableContents"/>
              <w:bidi w:val="0"/>
              <w:spacing w:before="0" w:after="283"/>
              <w:jc w:val="left"/>
              <w:rPr/>
            </w:pPr>
            <w:r>
              <w:rPr/>
              <w:t>  </w:t>
            </w:r>
          </w:p>
        </w:tc>
        <w:tc>
          <w:tcPr>
            <w:tcW w:w="5450" w:type="dxa"/>
            <w:tcBorders/>
            <w:vAlign w:val="bottom"/>
          </w:tcPr>
          <w:p>
            <w:pPr>
              <w:pStyle w:val="TableContents"/>
              <w:bidi w:val="0"/>
              <w:spacing w:before="0" w:after="283"/>
              <w:jc w:val="left"/>
              <w:rPr/>
            </w:pPr>
            <w:r>
              <w:rPr/>
              <w:t>Greater than or equal to 5.50:1.00 and less than 6.00:1.00</w:t>
            </w:r>
          </w:p>
        </w:tc>
        <w:tc>
          <w:tcPr>
            <w:tcW w:w="12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1.45</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III</w:t>
            </w:r>
          </w:p>
        </w:tc>
        <w:tc>
          <w:tcPr>
            <w:tcW w:w="120" w:type="dxa"/>
            <w:tcBorders/>
            <w:shd w:fill="CCEEFF" w:val="clear"/>
            <w:vAlign w:val="bottom"/>
          </w:tcPr>
          <w:p>
            <w:pPr>
              <w:pStyle w:val="TableContents"/>
              <w:bidi w:val="0"/>
              <w:spacing w:before="0" w:after="283"/>
              <w:jc w:val="left"/>
              <w:rPr/>
            </w:pPr>
            <w:r>
              <w:rPr/>
              <w:t>  </w:t>
            </w:r>
          </w:p>
        </w:tc>
        <w:tc>
          <w:tcPr>
            <w:tcW w:w="5450" w:type="dxa"/>
            <w:tcBorders/>
            <w:shd w:fill="CCEEFF" w:val="clear"/>
            <w:vAlign w:val="bottom"/>
          </w:tcPr>
          <w:p>
            <w:pPr>
              <w:pStyle w:val="TableContents"/>
              <w:bidi w:val="0"/>
              <w:spacing w:before="0" w:after="283"/>
              <w:jc w:val="left"/>
              <w:rPr/>
            </w:pPr>
            <w:r>
              <w:rPr/>
              <w:t>Greater than or equal to 6.00:1.00</w:t>
            </w:r>
          </w:p>
        </w:tc>
        <w:tc>
          <w:tcPr>
            <w:tcW w:w="12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1.65</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Yield or Total Leverage Ratio, as applicable, and the applicable “Alternate Rate Spread” shall be determined by the Administrative Agent based on the Compliance Certificate and related Quarterly Pricing Certificate delivered for each Fiscal Quarter. Notwithstanding the foregoing, (i) if the Compliance Certificate or related Quarterly Pricing Certificate are not delivered pursuant to this Agreement for purposes of calculating the Debt Yield or Total Leverage Ratio, as applicable, and determining the “Alternate Rate Spread” (or if such calculation and determination cannot be made for any other reason), then the “Alternate Rate Spread” above shall be determined based on Pricing Level III under the applicable pricing grid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 forth above until such Compliance Certificate and related Quarterly Pricing Certificate are delivered and such calculation and determination can be made, at which time the “Alternate Rate Spread” shall be based on the Debt Yield or Total Leverage Ratio, as applicable, under the applicable pricing grid set forth above and (ii) the “Alternate Rate Spread” shall be determined based on Pricing Level III under the applicable pricing grid set forth above from the date of occurrence of any Event of Default until the date (if any) on which both (A) such Event of Default has been waived by the applicable Lenders in accordance with Section 11.2 and (B) no other Event of Default is then continuing. The Applicable Alternate Rate in effect from the Closing Date until delivery to the Administrative Agent of the Compliance Certificate and related Quarterly Pricing Certificate for the Fiscal Quarter ending March 31, 2026 shall be determined based on Pricing Level II under the pricing grid based on the Debt Yield set forth in clause (a) above. Upon the occurrence of the Mortgage Security Release Event, the initial “Alternate Rate Spread” under clause (b) above shall be determined based on the Compliance Certificate and Quarterly Pricing Certificate delivered to and received by the Administrative Agent pursuant to the definition of “Mortgage Security Release Event”, and the “Alternate Rate Spread” shall thereafter be adjusted in accordance with this definition. Any change in the Applicable Alternate Rate resulting from a change in the Debt Yield or Total Leverage Ratio, as applicable, shall not take effect until the fifth Business Day after the Compliance Certificate and related Quarterly Pricing Certificate with respect to a Fiscal Quarter are (or are required to be)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above in this definition or elsewhere in this Agreement, if it is subsequently determined that the Debt Yield or Total Leverage Ratio set forth in any Compliance Certificate and related Quarterly Pricing Certificate delivered to the Administrative Agent is inaccurate for any reason and the result thereof is that the Lenders received interest or fees for any period based on an “Alternate Rate Spread” that is greater or less than that which would have been applicable had the Debt Yield or Total Leverage Ratio, as applicable, been accurately determined (regardless of whether this Agreement or the Commitments are in effect or any Loans are outstanding when such inaccuracy is discovered), then, for all purposes of this Agreement, the “Alternate Rate Spread” for any day occurring within the applicable period shall retroactively be deemed to be the relevant percentage as based upon the accurately determined Debt Yield or Total Leverage Ratio, as applicable, for such period, and (A) any excess in the interest or fees theretofore paid by the Borrower for the relevant periods as a result of the miscalculation of the Debt Yield or Total Leverage Ratio, as applicable, shall reduce (but not below $0) the interest payment due on the first interest payment date pursuant to Section 1.10(3) that occurs immediately following the date of delivery of written notice from the Borrower to the Administrative Agent of such inaccuracy (and, for the avoidance of doubt, shall not reduce any other payment hereunder or otherwise be required to be paid by the Administrative Agent, the Lenders or any other Secured Party to the Borrower) and (B) any shortfall in the interest or fees theretofore paid by the Borrower for the relevant periods as a result of the miscalculation of the Debt Yield or Total Leverage Ratio, as applicable, shall be deemed to be (and shall be) due and payable within five (5) Business Days after the earlier to occur of (x) discovery of such inaccuracy by the Borrower Parties and (y) delivery of written notice from the Administrative Agent to the Borrower Parties of such inaccuracy (and shall remain due and payable until paid in full in accordance with the terms of this Agreement); provided that, for the avoidance of doubt, no Potential Default or Event of Default shall be deemed to have occurred with respect to such deficiency unless and until the Borrower fails to make such payment required by this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Base Rate</w:t>
      </w:r>
      <w:r>
        <w:rPr>
          <w:rFonts w:ascii="Times New Roman" w:hAnsi="Times New Roman"/>
          <w:sz w:val="20"/>
        </w:rPr>
        <w:t xml:space="preserve">” shall mean, with respect to any Base Rate Loan for the Interest Period applicable to such Base Rate Loan, (a) from the Closing Date until the first day of the first Interest Period commencing after the date that the Mortgage Security Release Event occurs, the floating rate per annum equal to the daily average Base Rate in effect during the applicable calculation period plus the percentage (per annum) set forth below which corresponds to the applicable Debt Yield as measured at the end of each Fiscal Quarter: </w:t>
      </w:r>
    </w:p>
    <w:p>
      <w:pPr>
        <w:pStyle w:val="TextBody"/>
        <w:bidi w:val="0"/>
        <w:spacing w:before="0" w:after="0"/>
        <w:jc w:val="left"/>
        <w:rPr/>
      </w:pPr>
      <w:r>
        <w:rPr/>
        <w:t> </w:t>
      </w:r>
    </w:p>
    <w:tbl>
      <w:tblPr>
        <w:tblW w:w="8480" w:type="dxa"/>
        <w:jc w:val="center"/>
        <w:tblInd w:w="0" w:type="dxa"/>
        <w:tblLayout w:type="fixed"/>
        <w:tblCellMar>
          <w:top w:w="0" w:type="dxa"/>
          <w:left w:w="0" w:type="dxa"/>
          <w:bottom w:w="0" w:type="dxa"/>
          <w:right w:w="0" w:type="dxa"/>
        </w:tblCellMar>
      </w:tblPr>
      <w:tblGrid>
        <w:gridCol w:w="980"/>
        <w:gridCol w:w="120"/>
        <w:gridCol w:w="5150"/>
        <w:gridCol w:w="120"/>
        <w:gridCol w:w="220"/>
        <w:gridCol w:w="1615"/>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20" w:type="dxa"/>
            <w:tcBorders/>
            <w:vAlign w:val="bottom"/>
          </w:tcPr>
          <w:p>
            <w:pPr>
              <w:pStyle w:val="TableContents"/>
              <w:bidi w:val="0"/>
              <w:spacing w:before="0" w:after="283"/>
              <w:jc w:val="left"/>
              <w:rPr/>
            </w:pPr>
            <w:r>
              <w:rPr/>
              <w:t>  </w:t>
            </w:r>
          </w:p>
        </w:tc>
        <w:tc>
          <w:tcPr>
            <w:tcW w:w="5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Debt Yield</w:t>
            </w:r>
          </w:p>
        </w:tc>
        <w:tc>
          <w:tcPr>
            <w:tcW w:w="120"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Base Rate Spread</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w:t>
            </w:r>
          </w:p>
        </w:tc>
        <w:tc>
          <w:tcPr>
            <w:tcW w:w="120" w:type="dxa"/>
            <w:tcBorders/>
            <w:shd w:fill="CCEEFF" w:val="clear"/>
            <w:vAlign w:val="bottom"/>
          </w:tcPr>
          <w:p>
            <w:pPr>
              <w:pStyle w:val="TableContents"/>
              <w:bidi w:val="0"/>
              <w:spacing w:before="0" w:after="283"/>
              <w:jc w:val="left"/>
              <w:rPr/>
            </w:pPr>
            <w:r>
              <w:rPr/>
              <w:t>  </w:t>
            </w:r>
          </w:p>
        </w:tc>
        <w:tc>
          <w:tcPr>
            <w:tcW w:w="5150" w:type="dxa"/>
            <w:tcBorders/>
            <w:shd w:fill="CCEEFF" w:val="clear"/>
            <w:vAlign w:val="bottom"/>
          </w:tcPr>
          <w:p>
            <w:pPr>
              <w:pStyle w:val="TableContents"/>
              <w:bidi w:val="0"/>
              <w:spacing w:before="0" w:after="283"/>
              <w:jc w:val="left"/>
              <w:rPr/>
            </w:pPr>
            <w:r>
              <w:rPr/>
              <w:t>Greater than or equal to 14.00%</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0.80</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pPr>
            <w:r>
              <w:rPr/>
              <w:t>II</w:t>
            </w:r>
          </w:p>
        </w:tc>
        <w:tc>
          <w:tcPr>
            <w:tcW w:w="120" w:type="dxa"/>
            <w:tcBorders/>
            <w:vAlign w:val="bottom"/>
          </w:tcPr>
          <w:p>
            <w:pPr>
              <w:pStyle w:val="TableContents"/>
              <w:bidi w:val="0"/>
              <w:spacing w:before="0" w:after="283"/>
              <w:jc w:val="left"/>
              <w:rPr/>
            </w:pPr>
            <w:r>
              <w:rPr/>
              <w:t>  </w:t>
            </w:r>
          </w:p>
        </w:tc>
        <w:tc>
          <w:tcPr>
            <w:tcW w:w="5150" w:type="dxa"/>
            <w:tcBorders/>
            <w:vAlign w:val="bottom"/>
          </w:tcPr>
          <w:p>
            <w:pPr>
              <w:pStyle w:val="TableContents"/>
              <w:bidi w:val="0"/>
              <w:spacing w:before="0" w:after="283"/>
              <w:jc w:val="left"/>
              <w:rPr/>
            </w:pPr>
            <w:r>
              <w:rPr/>
              <w:t>Less than 14.00% and greater than or equal to 12.00%</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0.90</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III</w:t>
            </w:r>
          </w:p>
        </w:tc>
        <w:tc>
          <w:tcPr>
            <w:tcW w:w="120" w:type="dxa"/>
            <w:tcBorders/>
            <w:shd w:fill="CCEEFF" w:val="clear"/>
            <w:vAlign w:val="bottom"/>
          </w:tcPr>
          <w:p>
            <w:pPr>
              <w:pStyle w:val="TableContents"/>
              <w:bidi w:val="0"/>
              <w:spacing w:before="0" w:after="283"/>
              <w:jc w:val="left"/>
              <w:rPr/>
            </w:pPr>
            <w:r>
              <w:rPr/>
              <w:t>  </w:t>
            </w:r>
          </w:p>
        </w:tc>
        <w:tc>
          <w:tcPr>
            <w:tcW w:w="5150" w:type="dxa"/>
            <w:tcBorders/>
            <w:shd w:fill="CCEEFF" w:val="clear"/>
            <w:vAlign w:val="bottom"/>
          </w:tcPr>
          <w:p>
            <w:pPr>
              <w:pStyle w:val="TableContents"/>
              <w:bidi w:val="0"/>
              <w:spacing w:before="0" w:after="283"/>
              <w:jc w:val="left"/>
              <w:rPr/>
            </w:pPr>
            <w:r>
              <w:rPr/>
              <w:t>Less than 12.00%</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1.20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(b) from and after the first day of the first Interest Period commencing after the date that the Mortgage Security Release Event occurs, the floating rate per annum equal to the daily average Base Rate in effect during the applicable calculation period plus the percentage (per annum) set forth below which corresponds to the applicable Total Leverage Ratio as measured at the end of each Fiscal Quarter: </w:t>
      </w:r>
    </w:p>
    <w:p>
      <w:pPr>
        <w:pStyle w:val="TextBody"/>
        <w:bidi w:val="0"/>
        <w:spacing w:before="0" w:after="0"/>
        <w:jc w:val="left"/>
        <w:rPr/>
      </w:pPr>
      <w:r>
        <w:rPr/>
        <w:t> </w:t>
      </w:r>
    </w:p>
    <w:tbl>
      <w:tblPr>
        <w:tblW w:w="8780" w:type="dxa"/>
        <w:jc w:val="center"/>
        <w:tblInd w:w="0" w:type="dxa"/>
        <w:tblLayout w:type="fixed"/>
        <w:tblCellMar>
          <w:top w:w="0" w:type="dxa"/>
          <w:left w:w="0" w:type="dxa"/>
          <w:bottom w:w="0" w:type="dxa"/>
          <w:right w:w="0" w:type="dxa"/>
        </w:tblCellMar>
      </w:tblPr>
      <w:tblGrid>
        <w:gridCol w:w="980"/>
        <w:gridCol w:w="120"/>
        <w:gridCol w:w="5450"/>
        <w:gridCol w:w="120"/>
        <w:gridCol w:w="220"/>
        <w:gridCol w:w="1615"/>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20" w:type="dxa"/>
            <w:tcBorders/>
            <w:vAlign w:val="bottom"/>
          </w:tcPr>
          <w:p>
            <w:pPr>
              <w:pStyle w:val="TableContents"/>
              <w:bidi w:val="0"/>
              <w:spacing w:before="0" w:after="283"/>
              <w:jc w:val="left"/>
              <w:rPr/>
            </w:pPr>
            <w:r>
              <w:rPr/>
              <w:t>  </w:t>
            </w:r>
          </w:p>
        </w:tc>
        <w:tc>
          <w:tcPr>
            <w:tcW w:w="54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Total Leverage Ratio</w:t>
            </w:r>
          </w:p>
        </w:tc>
        <w:tc>
          <w:tcPr>
            <w:tcW w:w="120"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Base Rate Spread</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w:t>
            </w:r>
          </w:p>
        </w:tc>
        <w:tc>
          <w:tcPr>
            <w:tcW w:w="120" w:type="dxa"/>
            <w:tcBorders/>
            <w:shd w:fill="CCEEFF" w:val="clear"/>
            <w:vAlign w:val="bottom"/>
          </w:tcPr>
          <w:p>
            <w:pPr>
              <w:pStyle w:val="TableContents"/>
              <w:bidi w:val="0"/>
              <w:spacing w:before="0" w:after="283"/>
              <w:jc w:val="left"/>
              <w:rPr/>
            </w:pPr>
            <w:r>
              <w:rPr/>
              <w:t>  </w:t>
            </w:r>
          </w:p>
        </w:tc>
        <w:tc>
          <w:tcPr>
            <w:tcW w:w="5450" w:type="dxa"/>
            <w:tcBorders/>
            <w:shd w:fill="CCEEFF" w:val="clear"/>
            <w:vAlign w:val="bottom"/>
          </w:tcPr>
          <w:p>
            <w:pPr>
              <w:pStyle w:val="TableContents"/>
              <w:bidi w:val="0"/>
              <w:spacing w:before="0" w:after="283"/>
              <w:jc w:val="left"/>
              <w:rPr/>
            </w:pPr>
            <w:r>
              <w:rPr/>
              <w:t>Less than 5.50:1.00</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0.35</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pPr>
            <w:r>
              <w:rPr/>
              <w:t>II</w:t>
            </w:r>
          </w:p>
        </w:tc>
        <w:tc>
          <w:tcPr>
            <w:tcW w:w="120" w:type="dxa"/>
            <w:tcBorders/>
            <w:vAlign w:val="bottom"/>
          </w:tcPr>
          <w:p>
            <w:pPr>
              <w:pStyle w:val="TableContents"/>
              <w:bidi w:val="0"/>
              <w:spacing w:before="0" w:after="283"/>
              <w:jc w:val="left"/>
              <w:rPr/>
            </w:pPr>
            <w:r>
              <w:rPr/>
              <w:t>  </w:t>
            </w:r>
          </w:p>
        </w:tc>
        <w:tc>
          <w:tcPr>
            <w:tcW w:w="5450" w:type="dxa"/>
            <w:tcBorders/>
            <w:vAlign w:val="bottom"/>
          </w:tcPr>
          <w:p>
            <w:pPr>
              <w:pStyle w:val="TableContents"/>
              <w:bidi w:val="0"/>
              <w:spacing w:before="0" w:after="283"/>
              <w:jc w:val="left"/>
              <w:rPr/>
            </w:pPr>
            <w:r>
              <w:rPr/>
              <w:t>Greater than or equal to 5.50:1.00 and less than 6.00:1.00</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0.45</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III</w:t>
            </w:r>
          </w:p>
        </w:tc>
        <w:tc>
          <w:tcPr>
            <w:tcW w:w="120" w:type="dxa"/>
            <w:tcBorders/>
            <w:shd w:fill="CCEEFF" w:val="clear"/>
            <w:vAlign w:val="bottom"/>
          </w:tcPr>
          <w:p>
            <w:pPr>
              <w:pStyle w:val="TableContents"/>
              <w:bidi w:val="0"/>
              <w:spacing w:before="0" w:after="283"/>
              <w:jc w:val="left"/>
              <w:rPr/>
            </w:pPr>
            <w:r>
              <w:rPr/>
              <w:t>  </w:t>
            </w:r>
          </w:p>
        </w:tc>
        <w:tc>
          <w:tcPr>
            <w:tcW w:w="5450" w:type="dxa"/>
            <w:tcBorders/>
            <w:shd w:fill="CCEEFF" w:val="clear"/>
            <w:vAlign w:val="bottom"/>
          </w:tcPr>
          <w:p>
            <w:pPr>
              <w:pStyle w:val="TableContents"/>
              <w:bidi w:val="0"/>
              <w:spacing w:before="0" w:after="283"/>
              <w:jc w:val="left"/>
              <w:rPr/>
            </w:pPr>
            <w:r>
              <w:rPr/>
              <w:t>Greater than or equal to 6.00:1.00</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0.65</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Yield or Total Leverage Ratio, as applicable, and the applicable “Base Rate Spread” shall be determined by the Administrative Agent based on the Compliance Certificate and related Quarterly Pricing Certificate delivered for each Fiscal Quarter. Notwithstanding the foregoing, (i) if the Compliance Certificate or related Quarterly Pricing Certificate are not delivered pursuant to this Agreement for purposes of calculating the Debt Yield or Total Leverage Ratio, as applicable, and determining the “Base Rate Spread” (or if such calculation and determination cannot be made for any other reason), then the “Base Rate Spread” above shall be determined based on Pricing Level III under the applicable pricing grid set forth above until such Compliance Certificate and related Quarterly Pricing Certificate are delivered and such calculation and determination can be made, at which time the “Base Rate Spread” shall be based on the Debt Yield or Total Leverage Ratio, as applicable, under the applicable pricing grid set forth above and (ii) the “Base Rate Spread” shall be determined based on Pricing Level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applicable pricing grid set forth above from the date of occurrence of any Event of Default until the date (if any) on which both (A) such Event of Default has been waived by the applicable Lenders in accordance with Section 11.2 and (B) no other Event of Default is then continuing. The Applicable Base Rate in effect from the Closing Date until delivery to the Administrative Agent of the Compliance Certificate and related Quarterly Pricing Certificate for the Fiscal Quarter ending March 31, 2026 shall be determined based on Pricing Level II under the pricing grid based on the Debt Yield set forth in clause (a) above. Upon the occurrence of the Mortgage Security Release Event, the initial “Base Rate Spread” under clause (b) above shall be determined based on the Compliance Certificate and Quarterly Pricing Certificate delivered to and received by the Administrative Agent pursuant to the definition of “Mortgage Security Release Event”, and the “Base Rate Spread” shall thereafter be adjusted in accordance with this definition. Any change in the Applicable Base Rate resulting from a change in the Debt Yield or Total Leverage Ratio, as applicable, shall not take effect until the fifth Business Day after the Compliance Certificate and related Quarterly Pricing Certificate with respect to a Fiscal Quarter are (or are required to be)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above in this definition or elsewhere in this Agreement, if it is subsequently determined that the Debt Yield or Total Leverage Ratio set forth in any Compliance Certificate and related Quarterly Pricing Certificate delivered to the Administrative Agent is inaccurate for any reason and the result thereof is that the Lenders received interest or fees for any period based on a “Base Rate Spread” that is greater or less than that which would have been applicable had the Debt Yield or Total Leverage Ratio, as applicable, been accurately determined (regardless of whether this Agreement or the Commitments are in effect or any Loans are outstanding when such inaccuracy is discovered), then, for all purposes of this Agreement, the “Base Rate Spread” for any day occurring within the applicable period shall retroactively be deemed to be the relevant percentage as based upon the accurately determined Debt Yield or Total Leverage Ratio, as applicable, for such period, and (A) any excess in the interest or fees theretofore paid by the Borrower for the relevant periods as a result of the miscalculation of the Debt Yield or Total Leverage Ratio, as applicable, shall reduce (but not below $0) the interest payment due on the first interest payment date pursuant to Section 1.10(3) that occurs immediately following the date of delivery of written notice from the Borrower to the Administrative Agent of such inaccuracy (and, for the avoidance of doubt, shall not reduce any other payment hereunder or otherwise be required to be paid by the Administrative Agent, the Lenders or any other Secured Party to the Borrower) and (B) any shortfall in the interest or fees theretofore paid by the Borrower for the relevant periods as a result of the miscalculation of the Debt Yield or Total Leverage Ratio, as applicable, shall be deemed to be (and shall be) due and payable within five (5) Business Days after the earlier to occur of (x) discovery of such inaccuracy by the Borrower Parties and (y) delivery of written notice from the Administrative Agent to the Borrower Parties of such inaccuracy (and shall remain due and payable until paid in full in accordance with the terms of this Agreement); provided that, for the avoidance of doubt, no Potential Default or Event of Default shall be deemed to have occurred with respect to such deficiency unless and until the Borrower fails to make such payment required by this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Term SOFR Rate</w:t>
      </w:r>
      <w:r>
        <w:rPr>
          <w:rFonts w:ascii="Times New Roman" w:hAnsi="Times New Roman"/>
          <w:sz w:val="20"/>
        </w:rPr>
        <w:t xml:space="preserve">” shall mean, with respect to any Term SOFR Loan for the Interest Period applicable to such Term SOFR Loan, (a) from the Closing Date until the first day of the first Interest Period commencing after the date that the Mortgage Security Release Event occurs, the per annum rate equal to Term SOFR </w:t>
      </w:r>
      <w:r>
        <w:rPr>
          <w:rFonts w:ascii="Times New Roman" w:hAnsi="Times New Roman"/>
          <w:sz w:val="20"/>
          <w:u w:val="single"/>
        </w:rPr>
        <w:t>plus</w:t>
      </w:r>
      <w:r>
        <w:rPr>
          <w:rFonts w:ascii="Times New Roman" w:hAnsi="Times New Roman"/>
          <w:sz w:val="20"/>
        </w:rPr>
        <w:t xml:space="preserve"> the percentage (per annum) set forth below which corresponds to the applicable Debt Yield as measured at the end of each Fiscal Quarter: </w:t>
      </w:r>
    </w:p>
    <w:p>
      <w:pPr>
        <w:pStyle w:val="TextBody"/>
        <w:bidi w:val="0"/>
        <w:spacing w:before="0" w:after="0"/>
        <w:jc w:val="left"/>
        <w:rPr/>
      </w:pPr>
      <w:r>
        <w:rPr/>
        <w:t> </w:t>
      </w:r>
    </w:p>
    <w:tbl>
      <w:tblPr>
        <w:tblW w:w="8105" w:type="dxa"/>
        <w:jc w:val="center"/>
        <w:tblInd w:w="0" w:type="dxa"/>
        <w:tblLayout w:type="fixed"/>
        <w:tblCellMar>
          <w:top w:w="0" w:type="dxa"/>
          <w:left w:w="0" w:type="dxa"/>
          <w:bottom w:w="0" w:type="dxa"/>
          <w:right w:w="0" w:type="dxa"/>
        </w:tblCellMar>
      </w:tblPr>
      <w:tblGrid>
        <w:gridCol w:w="980"/>
        <w:gridCol w:w="120"/>
        <w:gridCol w:w="5150"/>
        <w:gridCol w:w="120"/>
        <w:gridCol w:w="175"/>
        <w:gridCol w:w="1285"/>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20" w:type="dxa"/>
            <w:tcBorders/>
            <w:vAlign w:val="bottom"/>
          </w:tcPr>
          <w:p>
            <w:pPr>
              <w:pStyle w:val="TableContents"/>
              <w:bidi w:val="0"/>
              <w:spacing w:before="0" w:after="283"/>
              <w:jc w:val="left"/>
              <w:rPr/>
            </w:pPr>
            <w:r>
              <w:rPr/>
              <w:t>  </w:t>
            </w:r>
          </w:p>
        </w:tc>
        <w:tc>
          <w:tcPr>
            <w:tcW w:w="5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Debt Yield</w:t>
            </w:r>
          </w:p>
        </w:tc>
        <w:tc>
          <w:tcPr>
            <w:tcW w:w="1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SOFR Spread</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w:t>
            </w:r>
          </w:p>
        </w:tc>
        <w:tc>
          <w:tcPr>
            <w:tcW w:w="120" w:type="dxa"/>
            <w:tcBorders/>
            <w:shd w:fill="CCEEFF" w:val="clear"/>
            <w:vAlign w:val="bottom"/>
          </w:tcPr>
          <w:p>
            <w:pPr>
              <w:pStyle w:val="TableContents"/>
              <w:bidi w:val="0"/>
              <w:spacing w:before="0" w:after="283"/>
              <w:jc w:val="left"/>
              <w:rPr/>
            </w:pPr>
            <w:r>
              <w:rPr/>
              <w:t>  </w:t>
            </w:r>
          </w:p>
        </w:tc>
        <w:tc>
          <w:tcPr>
            <w:tcW w:w="5150" w:type="dxa"/>
            <w:tcBorders/>
            <w:shd w:fill="CCEEFF" w:val="clear"/>
            <w:vAlign w:val="bottom"/>
          </w:tcPr>
          <w:p>
            <w:pPr>
              <w:pStyle w:val="TableContents"/>
              <w:bidi w:val="0"/>
              <w:spacing w:before="0" w:after="283"/>
              <w:jc w:val="left"/>
              <w:rPr/>
            </w:pPr>
            <w:r>
              <w:rPr/>
              <w:t>Greater than or equal to 14.00%</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1.80</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pPr>
            <w:r>
              <w:rPr/>
              <w:t>II</w:t>
            </w:r>
          </w:p>
        </w:tc>
        <w:tc>
          <w:tcPr>
            <w:tcW w:w="120" w:type="dxa"/>
            <w:tcBorders/>
            <w:vAlign w:val="bottom"/>
          </w:tcPr>
          <w:p>
            <w:pPr>
              <w:pStyle w:val="TableContents"/>
              <w:bidi w:val="0"/>
              <w:spacing w:before="0" w:after="283"/>
              <w:jc w:val="left"/>
              <w:rPr/>
            </w:pPr>
            <w:r>
              <w:rPr/>
              <w:t>  </w:t>
            </w:r>
          </w:p>
        </w:tc>
        <w:tc>
          <w:tcPr>
            <w:tcW w:w="5150" w:type="dxa"/>
            <w:tcBorders/>
            <w:vAlign w:val="bottom"/>
          </w:tcPr>
          <w:p>
            <w:pPr>
              <w:pStyle w:val="TableContents"/>
              <w:bidi w:val="0"/>
              <w:spacing w:before="0" w:after="283"/>
              <w:jc w:val="left"/>
              <w:rPr/>
            </w:pPr>
            <w:r>
              <w:rPr/>
              <w:t>Less than 14.00% and greater than or equal to 12.00%</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1.90</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III</w:t>
            </w:r>
          </w:p>
        </w:tc>
        <w:tc>
          <w:tcPr>
            <w:tcW w:w="120" w:type="dxa"/>
            <w:tcBorders/>
            <w:shd w:fill="CCEEFF" w:val="clear"/>
            <w:vAlign w:val="bottom"/>
          </w:tcPr>
          <w:p>
            <w:pPr>
              <w:pStyle w:val="TableContents"/>
              <w:bidi w:val="0"/>
              <w:spacing w:before="0" w:after="283"/>
              <w:jc w:val="left"/>
              <w:rPr/>
            </w:pPr>
            <w:r>
              <w:rPr/>
              <w:t>  </w:t>
            </w:r>
          </w:p>
        </w:tc>
        <w:tc>
          <w:tcPr>
            <w:tcW w:w="5150" w:type="dxa"/>
            <w:tcBorders/>
            <w:shd w:fill="CCEEFF" w:val="clear"/>
            <w:vAlign w:val="bottom"/>
          </w:tcPr>
          <w:p>
            <w:pPr>
              <w:pStyle w:val="TableContents"/>
              <w:bidi w:val="0"/>
              <w:spacing w:before="0" w:after="283"/>
              <w:jc w:val="left"/>
              <w:rPr/>
            </w:pPr>
            <w:r>
              <w:rPr/>
              <w:t>Less than 12.00%</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2.20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(b) from and after the first day of the first Interest Period commencing after the date that the Mortgage Security Release Event occurs, the per annum rate equal to Term SOFR </w:t>
      </w:r>
      <w:r>
        <w:rPr>
          <w:rFonts w:ascii="Times New Roman" w:hAnsi="Times New Roman"/>
          <w:sz w:val="20"/>
          <w:u w:val="single"/>
        </w:rPr>
        <w:t>plus</w:t>
      </w:r>
      <w:r>
        <w:rPr>
          <w:rFonts w:ascii="Times New Roman" w:hAnsi="Times New Roman"/>
          <w:sz w:val="20"/>
        </w:rPr>
        <w:t xml:space="preserve"> the percentage (per annum) set forth below which corresponds to the applicable Total Leverage Ratio as measured at the end of each Fiscal Quarter: </w:t>
      </w:r>
    </w:p>
    <w:p>
      <w:pPr>
        <w:pStyle w:val="TextBody"/>
        <w:bidi w:val="0"/>
        <w:spacing w:before="0" w:after="0"/>
        <w:jc w:val="left"/>
        <w:rPr/>
      </w:pPr>
      <w:r>
        <w:rPr/>
        <w:t> </w:t>
      </w:r>
    </w:p>
    <w:tbl>
      <w:tblPr>
        <w:tblW w:w="8405" w:type="dxa"/>
        <w:jc w:val="center"/>
        <w:tblInd w:w="0" w:type="dxa"/>
        <w:tblLayout w:type="fixed"/>
        <w:tblCellMar>
          <w:top w:w="0" w:type="dxa"/>
          <w:left w:w="0" w:type="dxa"/>
          <w:bottom w:w="0" w:type="dxa"/>
          <w:right w:w="0" w:type="dxa"/>
        </w:tblCellMar>
      </w:tblPr>
      <w:tblGrid>
        <w:gridCol w:w="980"/>
        <w:gridCol w:w="120"/>
        <w:gridCol w:w="5450"/>
        <w:gridCol w:w="120"/>
        <w:gridCol w:w="175"/>
        <w:gridCol w:w="1285"/>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20" w:type="dxa"/>
            <w:tcBorders/>
            <w:vAlign w:val="bottom"/>
          </w:tcPr>
          <w:p>
            <w:pPr>
              <w:pStyle w:val="TableContents"/>
              <w:bidi w:val="0"/>
              <w:spacing w:before="0" w:after="283"/>
              <w:jc w:val="left"/>
              <w:rPr/>
            </w:pPr>
            <w:r>
              <w:rPr/>
              <w:t>  </w:t>
            </w:r>
          </w:p>
        </w:tc>
        <w:tc>
          <w:tcPr>
            <w:tcW w:w="54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Total Leverage Ratio</w:t>
            </w:r>
          </w:p>
        </w:tc>
        <w:tc>
          <w:tcPr>
            <w:tcW w:w="1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SOFR Spread</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w:t>
            </w:r>
          </w:p>
        </w:tc>
        <w:tc>
          <w:tcPr>
            <w:tcW w:w="120" w:type="dxa"/>
            <w:tcBorders/>
            <w:shd w:fill="CCEEFF" w:val="clear"/>
            <w:vAlign w:val="bottom"/>
          </w:tcPr>
          <w:p>
            <w:pPr>
              <w:pStyle w:val="TableContents"/>
              <w:bidi w:val="0"/>
              <w:spacing w:before="0" w:after="283"/>
              <w:jc w:val="left"/>
              <w:rPr/>
            </w:pPr>
            <w:r>
              <w:rPr/>
              <w:t>  </w:t>
            </w:r>
          </w:p>
        </w:tc>
        <w:tc>
          <w:tcPr>
            <w:tcW w:w="5450" w:type="dxa"/>
            <w:tcBorders/>
            <w:shd w:fill="CCEEFF" w:val="clear"/>
            <w:vAlign w:val="bottom"/>
          </w:tcPr>
          <w:p>
            <w:pPr>
              <w:pStyle w:val="TableContents"/>
              <w:bidi w:val="0"/>
              <w:spacing w:before="0" w:after="283"/>
              <w:jc w:val="left"/>
              <w:rPr/>
            </w:pPr>
            <w:r>
              <w:rPr/>
              <w:t>Less than 5.50:1.00</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pPr>
            <w:r>
              <w:rPr/>
              <w:t>II</w:t>
            </w:r>
          </w:p>
        </w:tc>
        <w:tc>
          <w:tcPr>
            <w:tcW w:w="120" w:type="dxa"/>
            <w:tcBorders/>
            <w:vAlign w:val="bottom"/>
          </w:tcPr>
          <w:p>
            <w:pPr>
              <w:pStyle w:val="TableContents"/>
              <w:bidi w:val="0"/>
              <w:spacing w:before="0" w:after="283"/>
              <w:jc w:val="left"/>
              <w:rPr/>
            </w:pPr>
            <w:r>
              <w:rPr/>
              <w:t>  </w:t>
            </w:r>
          </w:p>
        </w:tc>
        <w:tc>
          <w:tcPr>
            <w:tcW w:w="5450" w:type="dxa"/>
            <w:tcBorders/>
            <w:vAlign w:val="bottom"/>
          </w:tcPr>
          <w:p>
            <w:pPr>
              <w:pStyle w:val="TableContents"/>
              <w:bidi w:val="0"/>
              <w:spacing w:before="0" w:after="283"/>
              <w:jc w:val="left"/>
              <w:rPr/>
            </w:pPr>
            <w:r>
              <w:rPr/>
              <w:t>Greater than or equal to 5.50:1.00 and less than 6.00:1.00</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1.45</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pPr>
            <w:r>
              <w:rPr/>
              <w:t>III</w:t>
            </w:r>
          </w:p>
        </w:tc>
        <w:tc>
          <w:tcPr>
            <w:tcW w:w="120" w:type="dxa"/>
            <w:tcBorders/>
            <w:shd w:fill="CCEEFF" w:val="clear"/>
            <w:vAlign w:val="bottom"/>
          </w:tcPr>
          <w:p>
            <w:pPr>
              <w:pStyle w:val="TableContents"/>
              <w:bidi w:val="0"/>
              <w:spacing w:before="0" w:after="283"/>
              <w:jc w:val="left"/>
              <w:rPr/>
            </w:pPr>
            <w:r>
              <w:rPr/>
              <w:t>  </w:t>
            </w:r>
          </w:p>
        </w:tc>
        <w:tc>
          <w:tcPr>
            <w:tcW w:w="5450" w:type="dxa"/>
            <w:tcBorders/>
            <w:shd w:fill="CCEEFF" w:val="clear"/>
            <w:vAlign w:val="bottom"/>
          </w:tcPr>
          <w:p>
            <w:pPr>
              <w:pStyle w:val="TableContents"/>
              <w:bidi w:val="0"/>
              <w:spacing w:before="0" w:after="283"/>
              <w:jc w:val="left"/>
              <w:rPr/>
            </w:pPr>
            <w:r>
              <w:rPr/>
              <w:t>Greater than or equal to 6.00:1.00</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1.65</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Yield or Total Leverage Ratio, as applicable, and the applicable “SOFR Spread” shall be determined by the Administrative Agent based on the Compliance Certificate and related Quarterly Pricing Certificate delivered for each Fiscal Quarter. Notwithstanding the foregoing, (i) if the Compliance Certificate or related Quarterly Pricing Certificate are not delivered pursuant to this Agreement for purposes of calculating the Debt Yield or Total Leverage Ratio, as applicable, and determining the “SOFR Spread” (or if such calculation and determination cannot be made for any other reason), then the “SOFR Spread” above shall be determined based on Pricing Level III under the applicable pricing grid set forth above until such Compliance Certificate and related Quarterly Pricing Certificate are delivered and such calculation and determination can be made, at which time the “SOFR Spread” shall be based on the Debt Yield or Total Leverage Ratio, as applicable, under the applicable pricing grid set forth above and (ii) the “SOFR Spread” shall be determined based on Pricing Level III under the applicable pricing grid set forth above from the date of occurrence of any Event of Default until the date (if any) on which both (A) such Event of Default has been waived by the applicable Lenders in accordance with Section 11.2 and (B) no other Event of Default is then continuing. The Applicable Term SOFR Rate in effect from the Closing Date until delivery to the Administrative Agent of the Compliance Certificate and related Quarterly Pricing Certificate for the Fiscal Quarter ending March 31, 2026 shall be determined based on Pricing Level II under the pricing grid based on the Debt Yield set forth in clause (a) above. Upon the occurrence of the Mortgage Security Release Event, the initial “SOFR Spread” under clause (b) above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based on the Compliance Certificate and Quarterly Pricing Certificate delivered to and received by the Administrative Agent pursuant to the definition of “Mortgage Security Release Event”, and the “SOFR Spread” shall thereafter be adjusted in accordance with this definition. Any change in the Applicable Term SOFR Rate resulting from a change in the Debt Yield or Total Leverage Ratio, as applicable, shall not take effect until the fifth Business Day after the Compliance Certificate and related Quarterly Pricing Certificate with respect to a Fiscal Quarter are (or are required to be)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above in this definition or elsewhere in this Agreement, if it is subsequently determined that the Debt Yield or Total Leverage Ratio set forth in any Compliance Certificate and related Quarterly Pricing Certificate delivered to the Administrative Agent is inaccurate for any reason and the result thereof is that the Lenders received interest or fees for any period based on a “SOFR Spread” that is greater or less than that which would have been applicable had the Debt Yield or Total Leverage Ratio, as applicable, been accurately determined (regardless of whether this Agreement or the Commitments are in effect or any Loans are outstanding when such inaccuracy is discovered), then, for all purposes of this Agreement, the “SOFR Spread” for any day occurring within the applicable period shall retroactively be deemed to be the relevant percentage as based upon the accurately determined Debt Yield or Total Leverage Ratio, as applicable, for such period, and (A) any excess in the interest or fees theretofore paid by the Borrower for the relevant periods as a result of the miscalculation of the Debt Yield or Total Leverage Ratio, as applicable, shall reduce (but not below $0) the interest payment due on the first interest payment date pursuant to Section 1.10(3) that occurs immediately following the date of delivery of written notice from the Borrower to the Administrative Agent of such inaccuracy (and, for the avoidance of doubt, shall not reduce any other payment hereunder or otherwise be required to be paid by the Administrative Agent, the Lenders or any other Secured Party to the Borrower) and (B) any shortfall in the interest or fees theretofore paid by the Borrower for the relevant periods as a result of the miscalculation of the Debt Yield or Total Leverage Ratio, as applicable, shall be deemed to be (and shall be) due and payable within five (5) Business Days after the earlier to occur of (x) discovery of such inaccuracy by the Borrower Parties and (y) delivery of written notice from the Administrative Agent to the Borrower Parties of such inaccuracy (and shall remain due and payable until paid in full in accordance with the terms of this Agreement); provided that, for the avoidance of doubt, no Potential Default or Event of Default shall be deemed to have occurred with respect to such deficiency unless and until the Borrower fails to make such payment required by this sentence.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shall mean Applicable Revolving Percentage. </w:t>
      </w:r>
    </w:p>
    <w:p>
      <w:pPr>
        <w:pStyle w:val="TextBody"/>
        <w:bidi w:val="0"/>
        <w:spacing w:before="240" w:after="0"/>
        <w:jc w:val="left"/>
        <w:rPr/>
      </w:pPr>
      <w:r>
        <w:rPr/>
        <w:t>“</w:t>
      </w:r>
      <w:r>
        <w:rPr>
          <w:rFonts w:ascii="Times New Roman" w:hAnsi="Times New Roman"/>
          <w:sz w:val="20"/>
          <w:u w:val="single"/>
        </w:rPr>
        <w:t>Applicable Revolving Percentage</w:t>
      </w:r>
      <w:r>
        <w:rPr>
          <w:rFonts w:ascii="Times New Roman" w:hAnsi="Times New Roman"/>
          <w:sz w:val="20"/>
        </w:rPr>
        <w:t xml:space="preserve">” shall mean, with respect to any Revolving Lender, (i) prior to the termination of the Revolving Commitments in accordance with this Agreement, the percentage obtained by dividing (x) the Revolving Commitment of that Revolving Lender by (y) the aggregate Revolving Commitments of all Revolving Lenders and (ii) after the termination of the Revolving Commitments in accordance with this Agreement, the percentage obtained by dividing (x) the Revolving Credit Exposure of that Revolving Lender by (y) the aggregate Revolving Credit Exposures of all Revolving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Appraisal</w:t>
      </w:r>
      <w:r>
        <w:rPr>
          <w:rFonts w:ascii="Times New Roman" w:hAnsi="Times New Roman"/>
          <w:sz w:val="20"/>
        </w:rPr>
        <w:t>” shall mean, with respect to any Real Property, an M.A.I. appraisal (commissioned by and addressed to the Administrative Agent), reasonably acceptable to the Administrative Agent as to form, methodology employed and appraisal date, prepared by a professional appraiser reasonably acceptable to the Administrative Agent (an “</w:t>
      </w:r>
      <w:r>
        <w:rPr>
          <w:rFonts w:ascii="Times New Roman" w:hAnsi="Times New Roman"/>
          <w:sz w:val="20"/>
          <w:u w:val="single"/>
        </w:rPr>
        <w:t>Appraiser</w:t>
      </w:r>
      <w:r>
        <w:rPr>
          <w:rFonts w:ascii="Times New Roman" w:hAnsi="Times New Roman"/>
          <w:sz w:val="20"/>
        </w:rPr>
        <w:t xml:space="preserve">”), which shall have at least the minimum qualifications required under applicable law governing the Administrative Agent and the Lenders, including without limitation, FIRREA. </w:t>
      </w:r>
    </w:p>
    <w:p>
      <w:pPr>
        <w:pStyle w:val="TextBody"/>
        <w:bidi w:val="0"/>
        <w:spacing w:before="240" w:after="0"/>
        <w:jc w:val="left"/>
        <w:rPr/>
      </w:pPr>
      <w:r>
        <w:rPr/>
        <w:t>“</w:t>
      </w:r>
      <w:r>
        <w:rPr>
          <w:rFonts w:ascii="Times New Roman" w:hAnsi="Times New Roman"/>
          <w:sz w:val="20"/>
          <w:u w:val="single"/>
        </w:rPr>
        <w:t>Appraiser</w:t>
      </w:r>
      <w:r>
        <w:rPr>
          <w:rFonts w:ascii="Times New Roman" w:hAnsi="Times New Roman"/>
          <w:sz w:val="20"/>
        </w:rPr>
        <w:t xml:space="preserve">” shall have the meaning given such term in the definition of “Appraisal”.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shall mean any Fund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Asset Rationalization</w:t>
      </w:r>
      <w:r>
        <w:rPr>
          <w:rFonts w:ascii="Times New Roman" w:hAnsi="Times New Roman"/>
          <w:sz w:val="20"/>
        </w:rPr>
        <w:t xml:space="preserve">” shall mean transactions consisting of internal reorganizations and/or restructurings of the Macerich Entities, including mergers, dissolutions and asset transfers and related activities related to tax planning, organizational chart simplification, and other corporate governance and efficiency measures, in each case, in connection with a Borrowing Base Asset Substitution, that directly or indirectly affects the ownership of a Borrowing Base Asset. </w:t>
      </w:r>
    </w:p>
    <w:p>
      <w:pPr>
        <w:pStyle w:val="TextBody"/>
        <w:bidi w:val="0"/>
        <w:spacing w:before="240" w:after="0"/>
        <w:jc w:val="left"/>
        <w:rPr/>
      </w:pPr>
      <w:r>
        <w:rPr/>
        <w:t>“</w:t>
      </w:r>
      <w:r>
        <w:rPr>
          <w:rFonts w:ascii="Times New Roman" w:hAnsi="Times New Roman"/>
          <w:sz w:val="20"/>
          <w:u w:val="single"/>
        </w:rPr>
        <w:t>Assignee</w:t>
      </w:r>
      <w:r>
        <w:rPr>
          <w:rFonts w:ascii="Times New Roman" w:hAnsi="Times New Roman"/>
          <w:sz w:val="20"/>
        </w:rPr>
        <w:t xml:space="preserve">” shall have the meaning given such term in </w:t>
      </w:r>
      <w:r>
        <w:rPr>
          <w:rFonts w:ascii="Times New Roman" w:hAnsi="Times New Roman"/>
          <w:sz w:val="20"/>
          <w:u w:val="single"/>
        </w:rPr>
        <w:t>Section 11.8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Assignment and Acceptance Agreement</w:t>
      </w:r>
      <w:r>
        <w:rPr>
          <w:rFonts w:ascii="Times New Roman" w:hAnsi="Times New Roman"/>
          <w:sz w:val="20"/>
        </w:rPr>
        <w:t xml:space="preserve">” shall mean an Assignment and Acceptance Agreement substantially in the form of </w:t>
      </w:r>
      <w:r>
        <w:rPr>
          <w:rFonts w:ascii="Times New Roman" w:hAnsi="Times New Roman"/>
          <w:sz w:val="20"/>
          <w:u w:val="single"/>
        </w:rPr>
        <w:t>Exhibit E</w:t>
      </w:r>
      <w:r>
        <w:rPr>
          <w:rFonts w:ascii="Times New Roman" w:hAnsi="Times New Roman"/>
          <w:sz w:val="20"/>
        </w:rPr>
        <w:t xml:space="preserve">, with such amendments or modifications as may be approved by the Administrative Agent. </w:t>
      </w:r>
    </w:p>
    <w:p>
      <w:pPr>
        <w:pStyle w:val="TextBody"/>
        <w:bidi w:val="0"/>
        <w:spacing w:before="240" w:after="0"/>
        <w:jc w:val="left"/>
        <w:rPr/>
      </w:pPr>
      <w:r>
        <w:rPr/>
        <w:t>“</w:t>
      </w:r>
      <w:r>
        <w:rPr>
          <w:rFonts w:ascii="Times New Roman" w:hAnsi="Times New Roman"/>
          <w:sz w:val="20"/>
          <w:u w:val="single"/>
        </w:rPr>
        <w:t>Assignment and Subordination of Property Management Agreements</w:t>
      </w:r>
      <w:r>
        <w:rPr>
          <w:rFonts w:ascii="Times New Roman" w:hAnsi="Times New Roman"/>
          <w:sz w:val="20"/>
        </w:rPr>
        <w:t xml:space="preserve">” shall mean, collectively, (a) the Second Amended and Restated Assignment and Subordination of Property Management Agreements, dated as of the Closing Date, executed and delivered by each Affiliate of any Borrower Party that manages or operates a Borrowing Base Mortgaged Property Asset as of the Closing Date and each Borrower Party that is an owner of such a Borrowing Base Mortgaged Property Asset as of the Closing Date and (b) each other assignment and subordination of property management agreement executed and delivered by each Affiliate of any Borrower Party that manages or operates a Borrowing Base Mortgaged Property Asset and each Borrower Party that is an owner of such a Borrowing Base Mortgaged Property Asset, in each case, substantially in the form of Exhibit O and as Modified from time to time.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shall mean the period from and including the Closing Date to but excluding the earlier of the Revolving Commitment Termination Date and the date of termination of the Revolving Commitments. </w:t>
      </w:r>
    </w:p>
    <w:p>
      <w:pPr>
        <w:pStyle w:val="TextBody"/>
        <w:bidi w:val="0"/>
        <w:spacing w:before="240" w:after="0"/>
        <w:jc w:val="left"/>
        <w:rPr/>
      </w:pPr>
      <w:r>
        <w:rPr/>
        <w:t>“</w:t>
      </w:r>
      <w:r>
        <w:rPr>
          <w:rFonts w:ascii="Times New Roman" w:hAnsi="Times New Roman"/>
          <w:sz w:val="20"/>
          <w:u w:val="single"/>
        </w:rPr>
        <w:t>Average Appraisal Capitalization Rate</w:t>
      </w:r>
      <w:r>
        <w:rPr>
          <w:rFonts w:ascii="Times New Roman" w:hAnsi="Times New Roman"/>
          <w:sz w:val="20"/>
        </w:rPr>
        <w:t xml:space="preserve">” shall mean, with respect to any applicable Borrowing Base Asset, the average of (i) the capitalization rate for such Borrowing Base Asset as determined based on an appraisal prepared at the request of the Borrower and/or its Affiliates in connection with MAC’s audit requirements as a publicly traded company and (ii) the capitalization rate with respect to such Borrowing Base Asset as determined based on an Appraisal prepared at the request of the Administrative Agent and the Lenders; </w:t>
      </w:r>
      <w:r>
        <w:rPr>
          <w:rFonts w:ascii="Times New Roman" w:hAnsi="Times New Roman"/>
          <w:i/>
          <w:sz w:val="20"/>
        </w:rPr>
        <w:t>provided</w:t>
      </w:r>
      <w:r>
        <w:rPr>
          <w:rFonts w:ascii="Times New Roman" w:hAnsi="Times New Roman"/>
          <w:sz w:val="20"/>
        </w:rPr>
        <w:t xml:space="preserve">, that until such time as the Appraisals described in the foregoing clauses (i) and (ii) are available, such Average Appraisal Capitalization Rate shall be deemed to be equal to the Implied Cap Rate for such Borrowing Base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Bail-In Action</w:t>
      </w:r>
      <w:r>
        <w:rPr>
          <w:rFonts w:ascii="Times New Roman" w:hAnsi="Times New Roman"/>
          <w:sz w:val="20"/>
        </w:rPr>
        <w:t xml:space="preserve">” shall mean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shall mean Title 11 of the United States Code entitled “Bankruptcy,” as now and hereafter in effect, or any successor statute.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shall mean, for any day, a rate per annum equal to the highest of: (a) the Prime Rate in effect on such day, (b) the sum of the Federal Funds Rate in effect on such day </w:t>
      </w:r>
      <w:r>
        <w:rPr>
          <w:rFonts w:ascii="Times New Roman" w:hAnsi="Times New Roman"/>
          <w:sz w:val="20"/>
          <w:u w:val="single"/>
        </w:rPr>
        <w:t>plus</w:t>
      </w:r>
      <w:r>
        <w:rPr>
          <w:rFonts w:ascii="Times New Roman" w:hAnsi="Times New Roman"/>
          <w:sz w:val="20"/>
        </w:rPr>
        <w:t xml:space="preserve"> 0.50%, (c) the sum of Term SOFR calculated for such day based on an Interest Period of one month </w:t>
      </w:r>
      <w:r>
        <w:rPr>
          <w:rFonts w:ascii="Times New Roman" w:hAnsi="Times New Roman"/>
          <w:sz w:val="20"/>
          <w:u w:val="single"/>
        </w:rPr>
        <w:t>plus</w:t>
      </w:r>
      <w:r>
        <w:rPr>
          <w:rFonts w:ascii="Times New Roman" w:hAnsi="Times New Roman"/>
          <w:sz w:val="20"/>
        </w:rPr>
        <w:t xml:space="preserve"> 1.00% and (d) the Index Floor. Any change in the Base Rate due to a change in the Prime Rate, the Federal Funds Rate or Term SOFR shall be effective on the effective day of such change in the Prime Rate, the Federal Funds Rate or Term SOFR, respectively. </w:t>
      </w:r>
    </w:p>
    <w:p>
      <w:pPr>
        <w:pStyle w:val="TextBody"/>
        <w:bidi w:val="0"/>
        <w:spacing w:before="240" w:after="0"/>
        <w:jc w:val="left"/>
        <w:rPr/>
      </w:pPr>
      <w:r>
        <w:rPr/>
        <w:t>“</w:t>
      </w:r>
      <w:r>
        <w:rPr>
          <w:rFonts w:ascii="Times New Roman" w:hAnsi="Times New Roman"/>
          <w:sz w:val="20"/>
          <w:u w:val="single"/>
        </w:rPr>
        <w:t>Base Rate Borrowing</w:t>
      </w:r>
      <w:r>
        <w:rPr>
          <w:rFonts w:ascii="Times New Roman" w:hAnsi="Times New Roman"/>
          <w:sz w:val="20"/>
        </w:rPr>
        <w:t xml:space="preserve">”, when used in reference to any Borrowing, refers to whether the Loans comprising such Borrowing are bearing interest at a rate determined by reference to the Applicable Base Rate. </w:t>
      </w:r>
    </w:p>
    <w:p>
      <w:pPr>
        <w:pStyle w:val="TextBody"/>
        <w:bidi w:val="0"/>
        <w:spacing w:before="240" w:after="0"/>
        <w:jc w:val="left"/>
        <w:rPr/>
      </w:pPr>
      <w:r>
        <w:rPr/>
        <w:t>“</w:t>
      </w:r>
      <w:r>
        <w:rPr>
          <w:rFonts w:ascii="Times New Roman" w:hAnsi="Times New Roman"/>
          <w:sz w:val="20"/>
          <w:u w:val="single"/>
        </w:rPr>
        <w:t>Base Rate Loan</w:t>
      </w:r>
      <w:r>
        <w:rPr>
          <w:rFonts w:ascii="Times New Roman" w:hAnsi="Times New Roman"/>
          <w:sz w:val="20"/>
        </w:rPr>
        <w:t xml:space="preserve">”, when used in reference to any Loan, refers to whether the Loans comprising such Borrowing are bearing interest at a rate determined by reference to the Applicable Base Rate.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shall mean, (i) initially, and continuing unless and until replaced by a Benchmark Replacement pursuant to </w:t>
      </w:r>
      <w:r>
        <w:rPr>
          <w:rFonts w:ascii="Times New Roman" w:hAnsi="Times New Roman"/>
          <w:sz w:val="20"/>
          <w:u w:val="single"/>
        </w:rPr>
        <w:t>Section 2.4</w:t>
      </w:r>
      <w:r>
        <w:rPr>
          <w:rFonts w:ascii="Times New Roman" w:hAnsi="Times New Roman"/>
          <w:sz w:val="20"/>
        </w:rPr>
        <w:t xml:space="preserve"> of this Agreement, the Term SOFR Reference Rate, and (ii) if a Benchmark Transition Event and its related Benchmark Replacement Date have occurred with respect to the Term SOFR Reference Rate or the then-current Benchmark, then the applicable Benchmark Replacement to the extent such Benchmark Replacement has replaced such prior Benchmark pursuant to Section 2.4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w:t>
      </w:r>
      <w:r>
        <w:rPr>
          <w:rFonts w:ascii="Times New Roman" w:hAnsi="Times New Roman"/>
          <w:sz w:val="20"/>
        </w:rPr>
        <w:t xml:space="preserve">” shall mean, for any Interest Period, the first alternative set forth in the order below that can be determined by the Administrative Agent as of the date that a Loan is converted to an Alternate Rate Loan pursuant to </w:t>
      </w:r>
      <w:r>
        <w:rPr>
          <w:rFonts w:ascii="Times New Roman" w:hAnsi="Times New Roman"/>
          <w:sz w:val="20"/>
          <w:u w:val="single"/>
        </w:rPr>
        <w:t>Section 2.4</w:t>
      </w:r>
      <w:r>
        <w:rPr>
          <w:rFonts w:ascii="Times New Roman" w:hAnsi="Times New Roman"/>
          <w:sz w:val="20"/>
        </w:rPr>
        <w:t xml:space="preserv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proviso at the end, and the last sentence, of this definition, the sum of: (i) Daily Simple SOFR and (ii) the related Benchmark Replacement Adjustment; or </w:t>
      </w:r>
    </w:p>
    <w:p>
      <w:pPr>
        <w:pStyle w:val="TextBody"/>
        <w:bidi w:val="0"/>
        <w:spacing w:before="240" w:after="0"/>
        <w:jc w:val="left"/>
        <w:rPr>
          <w:rFonts w:ascii="Times New Roman" w:hAnsi="Times New Roman"/>
          <w:sz w:val="20"/>
        </w:rPr>
      </w:pPr>
      <w:r>
        <w:rPr>
          <w:rFonts w:ascii="Times New Roman" w:hAnsi="Times New Roman"/>
          <w:sz w:val="20"/>
        </w:rPr>
        <w:t xml:space="preserve">(b) the sum of: (i) the floating rate index that the Administrative Agent determines in its sole but good faith discretion in consultation with the Borrower (giving due consideration to the recommendations of the Relevant Governmental Body and any evolving or then-prevailing market convention for determining a benchmark rate as a replacement to the then-current Benchmark for U.S. dollar-denominated floating rate syndicated loans) and that is then, or the Administrative Agent anticipates will be, generally used by the Administrative Agent in its syndicated floating rate commercial real estate loans similar to the subject Loan as an alternative to the then-current Benchmark, as determined by the Administrative Agent in its sole but good faith discretion and (ii) the related Benchmark Replacement Adjustment;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if the index rate set forth in </w:t>
      </w:r>
      <w:r>
        <w:rPr>
          <w:rFonts w:ascii="Times New Roman" w:hAnsi="Times New Roman"/>
          <w:sz w:val="20"/>
          <w:u w:val="single"/>
        </w:rPr>
        <w:t>clause (a)</w:t>
      </w:r>
      <w:r>
        <w:rPr>
          <w:rFonts w:ascii="Times New Roman" w:hAnsi="Times New Roman"/>
          <w:sz w:val="20"/>
        </w:rPr>
        <w:t xml:space="preserve"> above is not then commonly used by the Administrative Agent in its syndicated floating rate commercial real estate loans similar to the subject Loan as an alternative to the then-current Benchmark, as determined by the Administrative Agent in its sole but good faith discretion, then the Benchmark Replacement shall be determined per </w:t>
      </w:r>
      <w:r>
        <w:rPr>
          <w:rFonts w:ascii="Times New Roman" w:hAnsi="Times New Roman"/>
          <w:sz w:val="20"/>
          <w:u w:val="single"/>
        </w:rPr>
        <w:t>clause (b)</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herein to the contrary, if the Benchmark Replacement as determined pursuant to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would be less than the Index Floor, the Benchmark Replacement will be deemed to be the Index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shall mean, for any Interest Period, the first alternative set forth in the order below that can be determined by the Administrative Agent as of the date that a Loan is converted to an Alternate Rate Loan pursuant to </w:t>
      </w:r>
      <w:r>
        <w:rPr>
          <w:rFonts w:ascii="Times New Roman" w:hAnsi="Times New Roman"/>
          <w:sz w:val="20"/>
          <w:u w:val="single"/>
        </w:rPr>
        <w:t>Section 2.4</w:t>
      </w:r>
      <w:r>
        <w:rPr>
          <w:rFonts w:ascii="Times New Roman" w:hAnsi="Times New Roman"/>
          <w:sz w:val="20"/>
        </w:rPr>
        <w:t xml:space="preserv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the rate adjustment, or method for calculating or determining such rate adjustment (which may be a positive or negative value or zero) that has been selected, endorsed or recommended by the Relevant Governmental Body for the applicable Unadjusted Benchmark Replacement; or </w:t>
      </w:r>
    </w:p>
    <w:p>
      <w:pPr>
        <w:pStyle w:val="TextBody"/>
        <w:bidi w:val="0"/>
        <w:spacing w:before="240" w:after="0"/>
        <w:jc w:val="left"/>
        <w:rPr>
          <w:rFonts w:ascii="Times New Roman" w:hAnsi="Times New Roman"/>
          <w:sz w:val="20"/>
        </w:rPr>
      </w:pPr>
      <w:r>
        <w:rPr>
          <w:rFonts w:ascii="Times New Roman" w:hAnsi="Times New Roman"/>
          <w:sz w:val="20"/>
        </w:rPr>
        <w:t xml:space="preserve">(b) the rate adjustment (which may be a positive or negative value or zero) that has been determined by the Administrative Agent in its sole but good faith discretion in consultation with the Borrower, giving due consideration to any industry-accepted index rate adjustment, or method for calculating or determining such rate adjustment, for the replacement of the then-current Benchmark with the applicable Unadjusted Benchmark Replacement for U.S. dollar-denominated floating rate syndicated loans.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shall mean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of the definition of “Benchmark Transition Event,” the later of (a) the date of the public statement or publication of information referenced therein and (b) the date on which the administrator of such Benchmark permanently or indefinitely ceases to provide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w:t>
      </w:r>
      <w:r>
        <w:rPr>
          <w:rFonts w:ascii="Times New Roman" w:hAnsi="Times New Roman"/>
          <w:sz w:val="20"/>
          <w:u w:val="single"/>
        </w:rPr>
        <w:t>clause (3)</w:t>
      </w:r>
      <w:r>
        <w:rPr>
          <w:rFonts w:ascii="Times New Roman" w:hAnsi="Times New Roman"/>
          <w:sz w:val="20"/>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w:t>
      </w:r>
      <w:r>
        <w:rPr>
          <w:rFonts w:ascii="Times New Roman" w:hAnsi="Times New Roman"/>
          <w:sz w:val="20"/>
          <w:u w:val="single"/>
        </w:rPr>
        <w:t>clause (3)</w:t>
      </w:r>
      <w:r>
        <w:rPr>
          <w:rFonts w:ascii="Times New Roman" w:hAnsi="Times New Roman"/>
          <w:sz w:val="20"/>
        </w:rPr>
        <w:t xml:space="preserve"> even if such Benchmark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(3) in the case of </w:t>
      </w:r>
      <w:r>
        <w:rPr>
          <w:rFonts w:ascii="Times New Roman" w:hAnsi="Times New Roman"/>
          <w:sz w:val="20"/>
          <w:u w:val="single"/>
        </w:rPr>
        <w:t>clause (4)</w:t>
      </w:r>
      <w:r>
        <w:rPr>
          <w:rFonts w:ascii="Times New Roman" w:hAnsi="Times New Roman"/>
          <w:sz w:val="20"/>
        </w:rPr>
        <w:t xml:space="preserve"> of the definition of “Benchmark Transition Event”, the date of the Change in Law Determination; or </w:t>
      </w:r>
    </w:p>
    <w:p>
      <w:pPr>
        <w:pStyle w:val="TextBody"/>
        <w:bidi w:val="0"/>
        <w:spacing w:before="240" w:after="0"/>
        <w:jc w:val="left"/>
        <w:rPr>
          <w:rFonts w:ascii="Times New Roman" w:hAnsi="Times New Roman"/>
          <w:sz w:val="20"/>
        </w:rPr>
      </w:pPr>
      <w:r>
        <w:rPr>
          <w:rFonts w:ascii="Times New Roman" w:hAnsi="Times New Roman"/>
          <w:sz w:val="20"/>
        </w:rPr>
        <w:t xml:space="preserve">(4) in the case of </w:t>
      </w:r>
      <w:r>
        <w:rPr>
          <w:rFonts w:ascii="Times New Roman" w:hAnsi="Times New Roman"/>
          <w:sz w:val="20"/>
          <w:u w:val="single"/>
        </w:rPr>
        <w:t>clause (5)</w:t>
      </w:r>
      <w:r>
        <w:rPr>
          <w:rFonts w:ascii="Times New Roman" w:hAnsi="Times New Roman"/>
          <w:sz w:val="20"/>
        </w:rPr>
        <w:t xml:space="preserve"> of the definition of “Benchmark Transition Event”, the date of the Benchmark Unavailability Determination.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shall mean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w:t>
      </w:r>
      <w:r>
        <w:rPr>
          <w:rFonts w:ascii="Times New Roman" w:hAnsi="Times New Roman"/>
          <w:i/>
          <w:sz w:val="20"/>
        </w:rPr>
        <w:t xml:space="preserve">provided </w:t>
      </w:r>
      <w:r>
        <w:rPr>
          <w:rFonts w:ascii="Times New Roman" w:hAnsi="Times New Roman"/>
          <w:sz w:val="20"/>
        </w:rPr>
        <w:t xml:space="preserve">that, at the time of such statement or publication, there is no successor administrator that will continue to provide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w:t>
      </w:r>
      <w:r>
        <w:rPr>
          <w:rFonts w:ascii="Times New Roman" w:hAnsi="Times New Roman"/>
          <w:i/>
          <w:sz w:val="20"/>
        </w:rPr>
        <w:t>provided</w:t>
      </w:r>
      <w:r>
        <w:rPr>
          <w:rFonts w:ascii="Times New Roman" w:hAnsi="Times New Roman"/>
          <w:sz w:val="20"/>
        </w:rPr>
        <w:t xml:space="preserve"> that, at the time of such statement or publication, there is no successor administrator that will continue to provide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(3) a public statement or publication of information by or on behalf of the administrator of such Benchmark (or the published component used in the calculation thereof) or the regulatory supervisor for the administrator of such Benchmark (or such component thereof) announcing that such Benchmark (or such component thereof) is not, or as of a specified future date will not be,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 a Change in Law that the Administrative Agent determines (which determination shall be conclusive and binding for all purposes absent manifest error) prohibits, restricts or limits the use of such Benchmark (upon such determination “</w:t>
      </w:r>
      <w:r>
        <w:rPr>
          <w:rFonts w:ascii="Times New Roman" w:hAnsi="Times New Roman"/>
          <w:sz w:val="20"/>
          <w:u w:val="single"/>
        </w:rPr>
        <w:t>Change in Law Determination</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(5) a Benchmark Unavailability Period has occurred or exists with respect to such Benchmark, and the Administrative Agent determines in its sole and absolute discretion that such circumstance is unlikely to be temporary (a “</w:t>
      </w:r>
      <w:r>
        <w:rPr>
          <w:rFonts w:ascii="Times New Roman" w:hAnsi="Times New Roman"/>
          <w:sz w:val="20"/>
          <w:u w:val="single"/>
        </w:rPr>
        <w:t>Benchmark Unavailability Determination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shall mean each (if any) Interest Period for which the Administrative Agent determines (which determination shall be conclusive and binding absent manifest error) that adequate and reasonable means do not exist for ascertaining the Interest Rate for the applicable Interest Period (including, if the Benchmark is Term SOFR or Daily Simple SOFR, that Term SOFR or Daily Simple SOFR, as applicable, cannot be determined in accordance with the definition thereof).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shall mean a certification regarding beneficial ownership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shall mean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shall mean, with respect to any person, (i) in the case of any corporation, the board of directors of such person, (ii) in the case of any limited liability company, the board of managers of such person, (iii) in the case of any partnership, the Board of Directors of the general partner of such person and (iv) in any other case, the functional equivalent of the foregoing. </w:t>
      </w:r>
    </w:p>
    <w:p>
      <w:pPr>
        <w:pStyle w:val="TextBody"/>
        <w:bidi w:val="0"/>
        <w:spacing w:before="240" w:after="0"/>
        <w:jc w:val="left"/>
        <w:rPr/>
      </w:pPr>
      <w:r>
        <w:rPr/>
        <w:t>“</w:t>
      </w:r>
      <w:r>
        <w:rPr>
          <w:rFonts w:ascii="Times New Roman" w:hAnsi="Times New Roman"/>
          <w:sz w:val="20"/>
          <w:u w:val="single"/>
        </w:rPr>
        <w:t>Book Value</w:t>
      </w:r>
      <w:r>
        <w:rPr>
          <w:rFonts w:ascii="Times New Roman" w:hAnsi="Times New Roman"/>
          <w:sz w:val="20"/>
        </w:rPr>
        <w:t xml:space="preserve">” shall mean the book value of such asset or property, without regard to any related Indebtedness. </w:t>
      </w:r>
    </w:p>
    <w:p>
      <w:pPr>
        <w:pStyle w:val="TextBody"/>
        <w:bidi w:val="0"/>
        <w:spacing w:before="240" w:after="0"/>
        <w:jc w:val="left"/>
        <w:rPr/>
      </w:pPr>
      <w:r>
        <w:rPr/>
        <w:t>“</w:t>
      </w:r>
      <w:r>
        <w:rPr>
          <w:rFonts w:ascii="Times New Roman" w:hAnsi="Times New Roman"/>
          <w:sz w:val="20"/>
          <w:u w:val="single"/>
        </w:rPr>
        <w:t>Borrowed Indebtedness</w:t>
      </w:r>
      <w:r>
        <w:rPr>
          <w:rFonts w:ascii="Times New Roman" w:hAnsi="Times New Roman"/>
          <w:sz w:val="20"/>
        </w:rPr>
        <w:t xml:space="preserve">” of any Person shall mean, without duplication, (A) all obligations for borrowed money of such Person, (B) all liabilities and obligations, contingent or otherwise, evidenced by a letter of credit or a reimbursement obligation of such Person with respect to any letter of credit, (C) all obligations payable in cash (excluding obligations payable in cash or Capital Stock, at the option of a Borrower Party) for the deferred purchase price of Real Property acquired by such Person (excluding obligations arising in the ordinary course of business but including all obligations of such Person created or arising under any conditional sale or other title retention agreement with respect to any Real Property acquired by such Person), (D) all obligations for borrowed money secured by any Lien upon or in any Real Property owned by such Person whether or not such Person has assumed or become liable for the payment of such obligations for borrowed money and (E) all obligations of the type described in any of clauses (A) through (D) above which are guaranteed, directly or indirectly, or endorsed (otherwise than for collection or deposit in the ordinary course of business) or discounted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recourse by such Person. Borrowed Indebtedness shall not include (i) Indebtedness incurred for the purpose of acquiring one or more items of personal property, (ii) Permitted Guaranties, (iii) Indebtedness with respect to any Real Property that is the subject of a Specified Change of Control Event, (iv) Indebtedness which is cash collateralized (but only to the extent of such cash collateral) solely for so long as such cash is restricted for payment to such Indebtedness, (v) Indebtedness which has been defeased (but only to the extent of such defeasance), (vi) Indebtedness owing to a Macerich Entity, (vii) cash redemption or repurchase obligations with respect to Capital Stock issued in compliance with this Agreement so long as any such obligations are not required to be shown on such Person’s balance sheet in accordance with GAAP</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(viii) redemption or repurchase obligations with respect to Capital Stock issued in compliance with this Agreement, so long as such obligations are not required to be (and the Person to whom such obligations are owed does not have the right to require that such obligations be) satisfied with any payments other than non-cash payments in the form of Capital Stock</w:t>
      </w:r>
      <w:r>
        <w:rPr>
          <w:rFonts w:ascii="Times New Roman" w:hAnsi="Times New Roman"/>
          <w:color w:val="0000FF"/>
          <w:sz w:val="20"/>
          <w:u w:val="single"/>
          <w:bdr w:val="double" w:sz="2" w:space="1" w:color="000000"/>
        </w:rPr>
        <w:t>, and (ix) that portion of any obligation that is payable in cash or Capital Stock, at the option of a Borrower Party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shall have the meaning given such term in the preamble to this Agreement. </w:t>
      </w:r>
    </w:p>
    <w:p>
      <w:pPr>
        <w:pStyle w:val="TextBody"/>
        <w:bidi w:val="0"/>
        <w:spacing w:before="240" w:after="0"/>
        <w:jc w:val="left"/>
        <w:rPr/>
      </w:pPr>
      <w:r>
        <w:rPr/>
        <w:t>“</w:t>
      </w:r>
      <w:r>
        <w:rPr>
          <w:rFonts w:ascii="Times New Roman" w:hAnsi="Times New Roman"/>
          <w:sz w:val="20"/>
          <w:u w:val="single"/>
        </w:rPr>
        <w:t>Borrower Parties</w:t>
      </w:r>
      <w:r>
        <w:rPr>
          <w:rFonts w:ascii="Times New Roman" w:hAnsi="Times New Roman"/>
          <w:sz w:val="20"/>
        </w:rPr>
        <w:t xml:space="preserve">” shall mean, jointly and severally, each of the Borrower and the Guarantors.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shall mean (a) all Base Rate Loans made, converted or continued on the same date, or (b) all Term SOFR Loans of the same Interest Period. For purposes hereof, the date of a Borrowing comprising one or more Loans that have been converted or continued shall be the effective date of the most recent conversion or continuation of such Loan or Loans. </w:t>
      </w:r>
    </w:p>
    <w:p>
      <w:pPr>
        <w:pStyle w:val="TextBody"/>
        <w:bidi w:val="0"/>
        <w:spacing w:before="240" w:after="0"/>
        <w:jc w:val="left"/>
        <w:rPr/>
      </w:pPr>
      <w:r>
        <w:rPr/>
        <w:t>“</w:t>
      </w:r>
      <w:r>
        <w:rPr>
          <w:rFonts w:ascii="Times New Roman" w:hAnsi="Times New Roman"/>
          <w:sz w:val="20"/>
          <w:u w:val="single"/>
        </w:rPr>
        <w:t>Borrowing Base Amount</w:t>
      </w:r>
      <w:r>
        <w:rPr>
          <w:rFonts w:ascii="Times New Roman" w:hAnsi="Times New Roman"/>
          <w:sz w:val="20"/>
        </w:rPr>
        <w:t xml:space="preserve">” shall mean, at any date of determination, the sum of (i) the Borrowing Base Value of all Borrowing Base Equity Interest Assets, plus (ii) the product of (x) the Borrowing Base Value of all Borrowing Base Mortgaged Property Assets multiplied by (y) 65.0%, plus (iii) the product of (x) the Borrowing Base Value of all Borrowing Base Unencumbered Assets multiplied by (y) 65.0%, plus (iv) solely from and after the occurrence of the Mortgage Security Release Event, the Borrowing Base Value of all Borrowing Base Unencumbered Equity Interest Assets; provided that to the extent the aggregate Borrowing Base Value of all Borrowing Base Unencumbered Assets exceeds 20% of the aggregate Borrowing Base Value of all Borrowing Base Assets at the applicable time of determination, such excess over 20% shall be excluded from the calculation of the Borrowing Base Amount. </w:t>
      </w:r>
    </w:p>
    <w:p>
      <w:pPr>
        <w:pStyle w:val="TextBody"/>
        <w:bidi w:val="0"/>
        <w:spacing w:before="240" w:after="0"/>
        <w:jc w:val="left"/>
        <w:rPr/>
      </w:pPr>
      <w:r>
        <w:rPr/>
        <w:t>“</w:t>
      </w:r>
      <w:r>
        <w:rPr>
          <w:rFonts w:ascii="Times New Roman" w:hAnsi="Times New Roman"/>
          <w:sz w:val="20"/>
          <w:u w:val="single"/>
        </w:rPr>
        <w:t>Borrowing Base Asset Proposal Package</w:t>
      </w:r>
      <w:r>
        <w:rPr>
          <w:rFonts w:ascii="Times New Roman" w:hAnsi="Times New Roman"/>
          <w:sz w:val="20"/>
        </w:rPr>
        <w:t xml:space="preserve">” shall mean, with respect to any Proposed Borrowing Base Asset, the following items, each in form and substance reasonably satisfactory to the Administrative Agent: (i) a description of the applicable Real Property (either the proposed Borrowing Base Mortgaged Property Asset, the proposed Borrowing Base Unencumbered Asset or the Real Property directly or indirectly owned by the proposed Borrowing Base Equity Interest Asset Owner or the Borrowing Base Unencumbered Equity Interest Asset Owner) and the Capital Stock, Indebtedness and businesses of the relevant Persons, (ii) a projected cash flow analysis of such Real Property, (iii) a statement of operating expenses for such Real Property for the immediately preceding 36 consecutive calendar months (or such shorter period as such Real Property has been operational); provided that if such Real Property was acquired during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this requirement shall only apply to that portion of such period prior to such acquisition to the extent such statements are available to the Borrower Parties and their Subsidiaries after use of commercially reasonable efforts to obtain such statements, (iv) an operating expense and capital expenditures budget for such Real Property for the next succeeding 12 consecutive months, (v) if such Real Property is then the subject of an acquisition transaction, (A) a complete, executed copy of the letter of intent (or similar instrument) and (B) once available, a complete, executed copy of the purchase agreement with respect thereto and a schedule of the proposed sources and uses of funds for such transaction (provided that it is acknowledged and agreed that delivery of the purchase agreement shall not be required for the Administrative Agent to begin its review of the applicable Borrowing Base Asset Proposal Package), (vi) complete, executed copies of any applicable joint venture or financing agreements related to such Real Property and the relevant Persons who directly or indirectly own such Real Property, (vii) a recent rent roll for such Real Property and (viii) if such Real Property is subject to a ground lease, a complete, executed copy of such ground lease. </w:t>
      </w:r>
    </w:p>
    <w:p>
      <w:pPr>
        <w:pStyle w:val="TextBody"/>
        <w:bidi w:val="0"/>
        <w:spacing w:before="240" w:after="0"/>
        <w:jc w:val="left"/>
        <w:rPr/>
      </w:pPr>
      <w:r>
        <w:rPr/>
        <w:t>“</w:t>
      </w:r>
      <w:r>
        <w:rPr>
          <w:rFonts w:ascii="Times New Roman" w:hAnsi="Times New Roman"/>
          <w:sz w:val="20"/>
          <w:u w:val="single"/>
        </w:rPr>
        <w:t>Borrowing Base Asset Substitution</w:t>
      </w:r>
      <w:r>
        <w:rPr>
          <w:rFonts w:ascii="Times New Roman" w:hAnsi="Times New Roman"/>
          <w:sz w:val="20"/>
        </w:rPr>
        <w:t>” shall mean the substitution or swap of any Borrowing Base Assets (the “</w:t>
      </w:r>
      <w:r>
        <w:rPr>
          <w:rFonts w:ascii="Times New Roman" w:hAnsi="Times New Roman"/>
          <w:sz w:val="20"/>
          <w:u w:val="single"/>
        </w:rPr>
        <w:t>Replaced Assets</w:t>
      </w:r>
      <w:r>
        <w:rPr>
          <w:rFonts w:ascii="Times New Roman" w:hAnsi="Times New Roman"/>
          <w:sz w:val="20"/>
        </w:rPr>
        <w:t>”) for other assets of the Macerich Entities that satisfy the applicable Borrowing Base Criteria (the “</w:t>
      </w:r>
      <w:r>
        <w:rPr>
          <w:rFonts w:ascii="Times New Roman" w:hAnsi="Times New Roman"/>
          <w:sz w:val="20"/>
          <w:u w:val="single"/>
        </w:rPr>
        <w:t>Replacement Assets</w:t>
      </w:r>
      <w:r>
        <w:rPr>
          <w:rFonts w:ascii="Times New Roman" w:hAnsi="Times New Roman"/>
          <w:sz w:val="20"/>
        </w:rPr>
        <w:t xml:space="preserve">”) so long as the Borrowing Base Asset Substitution Conditions with respect to such substitution or swap have been satisfied. Upon the consummation of any Borrowing Base Asset Substitution, (x) if the Replaced Asset subject to such Borrowing Base Asset Substitution is a Borrowing Base Mortgaged Property Asset, such Replaced Asset shall cease to constitute a Borrowing Base Asset and, unless MAC shall have delivered a Release Request Certificate in connection therewith, shall thereafter continue to constitute Collateral hereunder (together with the related pledges of Capital Stock of the applicable Property Owner) and (y) if the Replaced Asset subject to such Borrowing Base Asset Substitution is a Borrowing Base Equity Interest Asset or a Borrowing Base Unencumbered Equity Interest Asset, such Replaced Asset shall cease to constitute a Borrowing Base Asset and, unless MAC shall have delivered a Release Request Certificate in connection therewith, shall thereafter continue to constitute Collateral hereunder (it being understood, for purposes of the foregoing clauses (x) and (y), that if MAC shall have delivered a Release Request Certificate in connection therewith, such Replaced Assets (and/or related pledged Capital Stock, as applicable) shall be released in accordance with, and subject to the conditions set forth in, </w:t>
      </w:r>
      <w:r>
        <w:rPr>
          <w:rFonts w:ascii="Times New Roman" w:hAnsi="Times New Roman"/>
          <w:sz w:val="20"/>
          <w:u w:val="single"/>
        </w:rPr>
        <w:t>Section 10.12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Borrowing Base Asset Substitution Conditions</w:t>
      </w:r>
      <w:r>
        <w:rPr>
          <w:rFonts w:ascii="Times New Roman" w:hAnsi="Times New Roman"/>
          <w:sz w:val="20"/>
        </w:rPr>
        <w:t xml:space="preserve">” shall mean, in respect of any Borrowing Base Asset Substitution,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(1) immediately prior to and after giving effect to such Borrowing Base Asset Substitution, no Specified Default or Event of Default shall exist; </w:t>
      </w:r>
    </w:p>
    <w:p>
      <w:pPr>
        <w:pStyle w:val="TextBody"/>
        <w:bidi w:val="0"/>
        <w:spacing w:before="240" w:after="0"/>
        <w:jc w:val="left"/>
        <w:rPr>
          <w:rFonts w:ascii="Times New Roman" w:hAnsi="Times New Roman"/>
          <w:sz w:val="20"/>
        </w:rPr>
      </w:pPr>
      <w:r>
        <w:rPr>
          <w:rFonts w:ascii="Times New Roman" w:hAnsi="Times New Roman"/>
          <w:sz w:val="20"/>
        </w:rPr>
        <w:t xml:space="preserve">(2) the Borrower Parties shall have complied with </w:t>
      </w:r>
      <w:r>
        <w:rPr>
          <w:rFonts w:ascii="Times New Roman" w:hAnsi="Times New Roman"/>
          <w:sz w:val="20"/>
          <w:u w:val="single"/>
        </w:rPr>
        <w:t>Section 7.14</w:t>
      </w:r>
      <w:r>
        <w:rPr>
          <w:rFonts w:ascii="Times New Roman" w:hAnsi="Times New Roman"/>
          <w:sz w:val="20"/>
        </w:rPr>
        <w:t xml:space="preserve"> with respect to the Replacement Assets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(3) immediately after giving effect to such Borrowing Base Asset Substitution, the remaining Borrowing Base Assets (including the Replacement Assets) shall satisfy (or continue to satisfy) the requirements set forth in the definition of Borrowing Base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Borrowing Base Amount (calculated on a pro forma basis after giving effect to such Borrowing Base Asset Substitution and to any repayment of any Revolving Loans or LC Disbursements, and Cash Collateralization of any outstanding Letters of Credit, at the time thereof) is greater than or equal to the total Revolving Credit Exposures; </w:t>
      </w:r>
    </w:p>
    <w:p>
      <w:pPr>
        <w:pStyle w:val="TextBody"/>
        <w:bidi w:val="0"/>
        <w:spacing w:before="240" w:after="0"/>
        <w:jc w:val="left"/>
        <w:rPr>
          <w:rFonts w:ascii="Times New Roman" w:hAnsi="Times New Roman"/>
          <w:sz w:val="20"/>
        </w:rPr>
      </w:pPr>
      <w:r>
        <w:rPr>
          <w:rFonts w:ascii="Times New Roman" w:hAnsi="Times New Roman"/>
          <w:sz w:val="20"/>
        </w:rPr>
        <w:t xml:space="preserve">(5) if the Borrower Parties are requesting that the Replaced Assets (and/or related pledged Capital Stock, as applicable) in respect of such Borrowing Base Asset Substitution be released from the Collateral in connection with such Borrowing Base Asset Substitution, the Borrowing Base Asset Substitution shall be made in connection with (a) a Financing or Joint Venture Transaction with respect to such Replaced Assets (and/or related pledged Capital Stock, as applicable), (b) a Disposition of such Replaced Assets (and/or related pledged Capital Stock, as applicable) that is permitted under </w:t>
      </w:r>
      <w:r>
        <w:rPr>
          <w:rFonts w:ascii="Times New Roman" w:hAnsi="Times New Roman"/>
          <w:sz w:val="20"/>
          <w:u w:val="single"/>
        </w:rPr>
        <w:t>Section 8.4(3)</w:t>
      </w:r>
      <w:r>
        <w:rPr>
          <w:rFonts w:ascii="Times New Roman" w:hAnsi="Times New Roman"/>
          <w:sz w:val="20"/>
        </w:rPr>
        <w:t xml:space="preserve"> and/or (c) an Asset Rationalization; </w:t>
      </w:r>
    </w:p>
    <w:p>
      <w:pPr>
        <w:pStyle w:val="TextBody"/>
        <w:bidi w:val="0"/>
        <w:spacing w:before="240" w:after="0"/>
        <w:jc w:val="left"/>
        <w:rPr>
          <w:rFonts w:ascii="Times New Roman" w:hAnsi="Times New Roman"/>
          <w:sz w:val="20"/>
        </w:rPr>
      </w:pPr>
      <w:r>
        <w:rPr>
          <w:rFonts w:ascii="Times New Roman" w:hAnsi="Times New Roman"/>
          <w:sz w:val="20"/>
        </w:rPr>
        <w:t xml:space="preserve">(6) solely in the case of an Asset Rationalization, the Replacement Asset shall be the same as (or the functional equivalent of) the Replaced Asset; and </w:t>
      </w:r>
    </w:p>
    <w:p>
      <w:pPr>
        <w:pStyle w:val="TextBody"/>
        <w:bidi w:val="0"/>
        <w:spacing w:before="240" w:after="0"/>
        <w:jc w:val="left"/>
        <w:rPr>
          <w:rFonts w:ascii="Times New Roman" w:hAnsi="Times New Roman"/>
          <w:sz w:val="20"/>
        </w:rPr>
      </w:pPr>
      <w:r>
        <w:rPr>
          <w:rFonts w:ascii="Times New Roman" w:hAnsi="Times New Roman"/>
          <w:sz w:val="20"/>
        </w:rPr>
        <w:t>(7) MAC shall have delivered to the Administrative Agent and the Collateral Agent (i) a certificate of a Responsible Officer of MAC (I) certifying compliance with the foregoing clauses (1), (2) and (3) and (II) if the Borrower Parties are requesting that such the Replaced Assets in respect of such Borrowing Base Asset Substitution be released from the Collateral, requesting such release and certifying, in reasonable detail and with such supporting documentation as the Administrative Agent or Collateral Agent may reasonably request, compliance with the foregoing clause (5) (and, solely in the case of an Asset Rationalization, the foregoing clause (6)) (any such certificate that includes the request described in this subclause (II), a “</w:t>
      </w:r>
      <w:r>
        <w:rPr>
          <w:rFonts w:ascii="Times New Roman" w:hAnsi="Times New Roman"/>
          <w:sz w:val="20"/>
          <w:u w:val="single"/>
        </w:rPr>
        <w:t>Release Request Certificate</w:t>
      </w:r>
      <w:r>
        <w:rPr>
          <w:rFonts w:ascii="Times New Roman" w:hAnsi="Times New Roman"/>
          <w:sz w:val="20"/>
        </w:rPr>
        <w:t xml:space="preserve">”) and (ii) a Borrowing Base Certificate demonstrating compliance with the foregoing clause (4). </w:t>
      </w:r>
    </w:p>
    <w:p>
      <w:pPr>
        <w:pStyle w:val="TextBody"/>
        <w:bidi w:val="0"/>
        <w:spacing w:before="240" w:after="0"/>
        <w:jc w:val="left"/>
        <w:rPr/>
      </w:pPr>
      <w:r>
        <w:rPr/>
        <w:t>“</w:t>
      </w:r>
      <w:r>
        <w:rPr>
          <w:rFonts w:ascii="Times New Roman" w:hAnsi="Times New Roman"/>
          <w:sz w:val="20"/>
          <w:u w:val="single"/>
        </w:rPr>
        <w:t>Borrowing Base Assets</w:t>
      </w:r>
      <w:r>
        <w:rPr>
          <w:rFonts w:ascii="Times New Roman" w:hAnsi="Times New Roman"/>
          <w:sz w:val="20"/>
        </w:rPr>
        <w:t xml:space="preserve">” shall mean each (i) Borrowing Base Equity Interest Asset, (ii) Borrowing Base Mortgaged Property Asset, (iii) Borrowing Base Unencumbered Asset and (iv) Borrowing Base Unencumbered Equity Interest Asset. </w:t>
      </w:r>
    </w:p>
    <w:p>
      <w:pPr>
        <w:pStyle w:val="TextBody"/>
        <w:bidi w:val="0"/>
        <w:spacing w:before="240" w:after="0"/>
        <w:jc w:val="left"/>
        <w:rPr/>
      </w:pPr>
      <w:r>
        <w:rPr/>
        <w:t>“</w:t>
      </w:r>
      <w:r>
        <w:rPr>
          <w:rFonts w:ascii="Times New Roman" w:hAnsi="Times New Roman"/>
          <w:sz w:val="20"/>
          <w:u w:val="single"/>
        </w:rPr>
        <w:t>Borrowing Base Certificate</w:t>
      </w:r>
      <w:r>
        <w:rPr>
          <w:rFonts w:ascii="Times New Roman" w:hAnsi="Times New Roman"/>
          <w:sz w:val="20"/>
        </w:rPr>
        <w:t>” shall mean a certificate in substantially the form of</w:t>
      </w:r>
      <w:r>
        <w:rPr>
          <w:rFonts w:ascii="Times New Roman" w:hAnsi="Times New Roman"/>
          <w:sz w:val="20"/>
          <w:u w:val="single"/>
        </w:rPr>
        <w:t xml:space="preserve"> Exhibit N</w:t>
      </w:r>
      <w:r>
        <w:rPr>
          <w:rFonts w:ascii="Times New Roman" w:hAnsi="Times New Roman"/>
          <w:sz w:val="20"/>
        </w:rPr>
        <w:t xml:space="preserve"> hereto, duly certified by the chief financial officer (or other Responsible Officer performing similar functions) of MAC. </w:t>
      </w:r>
    </w:p>
    <w:p>
      <w:pPr>
        <w:pStyle w:val="TextBody"/>
        <w:bidi w:val="0"/>
        <w:spacing w:before="240" w:after="0"/>
        <w:jc w:val="left"/>
        <w:rPr/>
      </w:pPr>
      <w:r>
        <w:rPr/>
        <w:t>“</w:t>
      </w:r>
      <w:r>
        <w:rPr>
          <w:rFonts w:ascii="Times New Roman" w:hAnsi="Times New Roman"/>
          <w:sz w:val="20"/>
          <w:u w:val="single"/>
        </w:rPr>
        <w:t>Borrowing Base Criteria</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any Borrowing Base Mortgaged Property Asset or Proposed Borrowing Base Asset that would constitute a Borrowing Base Mortgaged Property Asset, such Borrowing Base Mortgaged Property Asset or Proposed Borrowing Base Asset must be: </w:t>
      </w:r>
    </w:p>
    <w:p>
      <w:pPr>
        <w:pStyle w:val="TextBody"/>
        <w:bidi w:val="0"/>
        <w:spacing w:before="120" w:after="0"/>
        <w:jc w:val="left"/>
        <w:rPr>
          <w:rFonts w:ascii="Times New Roman" w:hAnsi="Times New Roman"/>
          <w:sz w:val="20"/>
        </w:rPr>
      </w:pPr>
      <w:r>
        <w:rPr>
          <w:rFonts w:ascii="Times New Roman" w:hAnsi="Times New Roman"/>
          <w:sz w:val="20"/>
        </w:rPr>
        <w:t xml:space="preserve">(A) a Retail/Other Property, </w:t>
      </w:r>
    </w:p>
    <w:p>
      <w:pPr>
        <w:pStyle w:val="TextBody"/>
        <w:bidi w:val="0"/>
        <w:spacing w:before="120" w:after="0"/>
        <w:jc w:val="left"/>
        <w:rPr>
          <w:rFonts w:ascii="Times New Roman" w:hAnsi="Times New Roman"/>
          <w:sz w:val="20"/>
        </w:rPr>
      </w:pPr>
      <w:r>
        <w:rPr>
          <w:rFonts w:ascii="Times New Roman" w:hAnsi="Times New Roman"/>
          <w:sz w:val="20"/>
        </w:rPr>
        <w:t xml:space="preserve">(B) located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Wholly-Owned by the Borrower or a Subsidiary Guarantor either in fee simple or subject to a ground lease, or for those Borrowing Base Assets which are ground leased and added as a Borrowing Base Mortgaged Property Asset after the Closing Date, subject to a Qualifying Ground Lease or an Agent Accepted Ground Lease (it being understood, for the avoidance of doubt, that ground leases with respect to Borrowing Base Mortgaged Property Assets that are Borrowing Base Assets on the Closing Date, including without limitation the Stonewood Ground Lease, are not, and will not in the future be, required to be a Qualifying Ground Lease or an Agent Accepted Ground Lease to satisfy the Borrowing Base Criteria), </w:t>
      </w:r>
    </w:p>
    <w:p>
      <w:pPr>
        <w:pStyle w:val="TextBody"/>
        <w:bidi w:val="0"/>
        <w:spacing w:before="120" w:after="0"/>
        <w:jc w:val="left"/>
        <w:rPr>
          <w:rFonts w:ascii="Times New Roman" w:hAnsi="Times New Roman"/>
          <w:sz w:val="20"/>
        </w:rPr>
      </w:pPr>
      <w:r>
        <w:rPr>
          <w:rFonts w:ascii="Times New Roman" w:hAnsi="Times New Roman"/>
          <w:sz w:val="20"/>
        </w:rPr>
        <w:t xml:space="preserve">(D) subject to a valid and enforceable first priority Mortgage (subject to Permitted Encumbrances) in favor of the Collateral Agent for the benefit of the Secured Parties, and the related Capital Stock of the Property Owner must be subject to a valid and enforceable first priority pledge in favor of the Collateral Agent for the benefit of the Secured Parties pursuant to the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(E) free of any structural defect, title defect, environmental issue, and/or condemnation proceeding, in each case, that individually or in the aggregate has had, or is reasonably expected to have, a Property-Level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free of any Indebtedness or Liens other than (I) Liens in favor of the Collateral Agent for the benefit of the Secured Parties and (II) Permitted Encumbrances and Indebtedness (excluding any Indebtedness for borrowed money) in respect of such Permitted Encumbrances (and the related Capital Stock of the Property Owner shall not be subject to any Indebtedness or Liens other than Liens in favor of the Collateral Agent for the benefit of the Secured Parties and Contractual Encumbrances), and </w:t>
      </w:r>
    </w:p>
    <w:p>
      <w:pPr>
        <w:pStyle w:val="TextBody"/>
        <w:bidi w:val="0"/>
        <w:spacing w:before="120" w:after="0"/>
        <w:jc w:val="left"/>
        <w:rPr>
          <w:rFonts w:ascii="Times New Roman" w:hAnsi="Times New Roman"/>
          <w:sz w:val="20"/>
        </w:rPr>
      </w:pPr>
      <w:r>
        <w:rPr>
          <w:rFonts w:ascii="Times New Roman" w:hAnsi="Times New Roman"/>
          <w:sz w:val="20"/>
        </w:rPr>
        <w:t xml:space="preserve">(G) either (x) a Borrowing Base Mortgaged Property Asset on the Closing Date or (y) added as a Borrowing Base Mortgaged Property Asset pursuant to </w:t>
      </w:r>
      <w:r>
        <w:rPr>
          <w:rFonts w:ascii="Times New Roman" w:hAnsi="Times New Roman"/>
          <w:sz w:val="20"/>
          <w:u w:val="single"/>
        </w:rPr>
        <w:t>Section 7.14</w:t>
      </w:r>
      <w:r>
        <w:rPr>
          <w:rFonts w:ascii="Times New Roman" w:hAnsi="Times New Roman"/>
          <w:sz w:val="20"/>
        </w:rPr>
        <w:t xml:space="preserve"> (whether as a Borrowing Base Asset Substitution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(2) with respect to any Borrowing Base Equity Interest Asset or Proposed Borrowing Base Asset that would constitute a Borrowing Base Equity Interest Asset, such Borrowing Base Equity Interest Asset or Proposed Borrowing Base Asset must be: </w:t>
      </w:r>
    </w:p>
    <w:p>
      <w:pPr>
        <w:pStyle w:val="TextBody"/>
        <w:bidi w:val="0"/>
        <w:spacing w:before="120" w:after="0"/>
        <w:jc w:val="left"/>
        <w:rPr>
          <w:rFonts w:ascii="Times New Roman" w:hAnsi="Times New Roman"/>
          <w:sz w:val="20"/>
        </w:rPr>
      </w:pPr>
      <w:r>
        <w:rPr>
          <w:rFonts w:ascii="Times New Roman" w:hAnsi="Times New Roman"/>
          <w:sz w:val="20"/>
        </w:rPr>
        <w:t xml:space="preserve">(A) Capital Stock of a Person that (I) is organized in the United States or any state thereof, (II) is either (x) Wholly-Owned by the Macerich Entities or (y) a member of a Joint Venture, or the holder of an indirect interest in a Joint Venture and (III) directly or indirectly owns or ground leases a Retail/Other Property that is located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such Retail/Other Property, (I) free of any structural defect, title defect, environmental issue, and/or condemnation proceeding, in each case, that individually or in the aggregate has had, or is reasonably expected to have, a Property-Level Material Adverse Effect and (II) if such Retail/Other Property is Wholly-Owned, is collateral for and subject to Liens securing Permitted Indebtedness (other than the Secured Obligations) that is permitted to be secured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case of such Capital Stock of such Person (and not, for the avoidance of doubt, the Capital Stock of Subsidiaries and Joint Ventures of such Person) and such Retail/Other Property, free of any Indebtedness or Liens other than (I) Liens in favor of the Collateral Agent for the benefit of the Secured Parties, (II) with respect to such Retail/Other Property only, Permitted Indebtedness that is permitted to be secured under this Agreement, (III) with respect to such Capital Stock only, Contractual Encumbrances, and (IV) with respect to such Retail/Other Property only,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such Capital Stock of such Person (and the Capital Stock of Subsidiaries and Joint Ventures of such Person) and such Retail/Other Property, not the subject of any Excepted Judgment or any Specified Debt Default, </w:t>
      </w:r>
    </w:p>
    <w:p>
      <w:pPr>
        <w:pStyle w:val="TextBody"/>
        <w:bidi w:val="0"/>
        <w:spacing w:before="120" w:after="0"/>
        <w:jc w:val="left"/>
        <w:rPr>
          <w:rFonts w:ascii="Times New Roman" w:hAnsi="Times New Roman"/>
          <w:sz w:val="20"/>
        </w:rPr>
      </w:pPr>
      <w:r>
        <w:rPr>
          <w:rFonts w:ascii="Times New Roman" w:hAnsi="Times New Roman"/>
          <w:sz w:val="20"/>
        </w:rPr>
        <w:t xml:space="preserve">(E) subject to a valid and enforceable first priority pledge in favor of the Collateral Agent for the benefit of the Secured Parties pursuant to the Pledge Agreement, which is permitted pursuant to any applicable joint venture agreement and the definitive documents governing any applicable Indebtedness, subject to Contractual Encumbrances, and </w:t>
      </w:r>
    </w:p>
    <w:p>
      <w:pPr>
        <w:pStyle w:val="TextBody"/>
        <w:bidi w:val="0"/>
        <w:spacing w:before="120" w:after="0"/>
        <w:jc w:val="left"/>
        <w:rPr>
          <w:rFonts w:ascii="Times New Roman" w:hAnsi="Times New Roman"/>
          <w:sz w:val="20"/>
        </w:rPr>
      </w:pPr>
      <w:r>
        <w:rPr>
          <w:rFonts w:ascii="Times New Roman" w:hAnsi="Times New Roman"/>
          <w:sz w:val="20"/>
        </w:rPr>
        <w:t xml:space="preserve">(F) either (x) a Borrowing Base Equity Interest Asset on the Closing Date or (y) added as a Borrowing Base Equity Interest Asset pursuant to </w:t>
      </w:r>
      <w:r>
        <w:rPr>
          <w:rFonts w:ascii="Times New Roman" w:hAnsi="Times New Roman"/>
          <w:sz w:val="20"/>
          <w:u w:val="single"/>
        </w:rPr>
        <w:t>Section 7.14</w:t>
      </w:r>
      <w:r>
        <w:rPr>
          <w:rFonts w:ascii="Times New Roman" w:hAnsi="Times New Roman"/>
          <w:sz w:val="20"/>
        </w:rPr>
        <w:t xml:space="preserve"> (whether as a Borrowing Base Asset Substitution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(3) with respect to any Borrowing Base Unencumbered Asset or Proposed Borrowing Base Asset that would constitute a Borrowing Base Unencumbered Asset, such Borrowing Base Unencumbered Asset or Proposed Borrowing Base Asset must be: </w:t>
      </w:r>
    </w:p>
    <w:p>
      <w:pPr>
        <w:pStyle w:val="TextBody"/>
        <w:bidi w:val="0"/>
        <w:spacing w:before="120" w:after="0"/>
        <w:jc w:val="left"/>
        <w:rPr>
          <w:rFonts w:ascii="Times New Roman" w:hAnsi="Times New Roman"/>
          <w:sz w:val="20"/>
        </w:rPr>
      </w:pPr>
      <w:r>
        <w:rPr>
          <w:rFonts w:ascii="Times New Roman" w:hAnsi="Times New Roman"/>
          <w:sz w:val="20"/>
        </w:rPr>
        <w:t xml:space="preserve">(A) a Retail/Other Property, </w:t>
      </w:r>
    </w:p>
    <w:p>
      <w:pPr>
        <w:pStyle w:val="TextBody"/>
        <w:bidi w:val="0"/>
        <w:spacing w:before="120" w:after="0"/>
        <w:jc w:val="left"/>
        <w:rPr>
          <w:rFonts w:ascii="Times New Roman" w:hAnsi="Times New Roman"/>
          <w:sz w:val="20"/>
        </w:rPr>
      </w:pPr>
      <w:r>
        <w:rPr>
          <w:rFonts w:ascii="Times New Roman" w:hAnsi="Times New Roman"/>
          <w:sz w:val="20"/>
        </w:rPr>
        <w:t xml:space="preserve">(B) located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free of any structural defect, environmental issue, and/or condemnation proceeding, in each case, that individually or in the aggregate has had, or is reasonably expected to have, a Property-Level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free of any Indebtedness or Liens other than (I) Liens in favor of the Collateral Agent for the benefit of the Secured Parties and (II) Permitted Encumbrances and Indebtedness (excluding any Indebtedness for borrowed money) in respect of such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(E) not the subject of any Excepted Judgment or Specified Debt Default, </w:t>
      </w:r>
    </w:p>
    <w:p>
      <w:pPr>
        <w:pStyle w:val="TextBody"/>
        <w:bidi w:val="0"/>
        <w:spacing w:before="120" w:after="0"/>
        <w:jc w:val="left"/>
        <w:rPr>
          <w:rFonts w:ascii="Times New Roman" w:hAnsi="Times New Roman"/>
          <w:sz w:val="20"/>
        </w:rPr>
      </w:pPr>
      <w:r>
        <w:rPr>
          <w:rFonts w:ascii="Times New Roman" w:hAnsi="Times New Roman"/>
          <w:sz w:val="20"/>
        </w:rPr>
        <w:t xml:space="preserve">(F) owned by a non-Wholly-Owned Subsidiary or Joint Venture of the Macerich Entities that is (I) party to a joint venture agreement that prohibits a pledge to the Collateral Agent, and to any agent, trustee or other representative for any other non-property level Indebtedness, of the Capital Stock of such Subsidiary or Joint Venture and the Capital Stock of all direct or indirect parent companies of such Subsidiary or Joint Venture that constitute Macerich Entities (which prohibition was entered into for bona fide business purposes and not by the Macerich Entities for the purpose of avoiding a pledge thereof under the Loan Documents) and (II) not the subject of an Excepted Judgment or a Specified Debt Default,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either (x) a Borrowing Base Unencumbered Asset on the Closing Date or (y) added as a Borrowing Base Unencumbered Asset pursuant to </w:t>
      </w:r>
      <w:r>
        <w:rPr>
          <w:rFonts w:ascii="Times New Roman" w:hAnsi="Times New Roman"/>
          <w:sz w:val="20"/>
          <w:u w:val="single"/>
        </w:rPr>
        <w:t>Section 7.14</w:t>
      </w:r>
      <w:r>
        <w:rPr>
          <w:rFonts w:ascii="Times New Roman" w:hAnsi="Times New Roman"/>
          <w:sz w:val="20"/>
        </w:rPr>
        <w:t xml:space="preserve"> (whether as a Borrowing Base Asset Substitution or otherwise); and </w:t>
      </w:r>
    </w:p>
    <w:p>
      <w:pPr>
        <w:pStyle w:val="TextBody"/>
        <w:bidi w:val="0"/>
        <w:spacing w:before="240" w:after="0"/>
        <w:jc w:val="left"/>
        <w:rPr>
          <w:rFonts w:ascii="Times New Roman" w:hAnsi="Times New Roman"/>
          <w:sz w:val="20"/>
        </w:rPr>
      </w:pPr>
      <w:r>
        <w:rPr>
          <w:rFonts w:ascii="Times New Roman" w:hAnsi="Times New Roman"/>
          <w:sz w:val="20"/>
        </w:rPr>
        <w:t xml:space="preserve">(4) with respect to any Borrowing Base Unencumbered Equity Interest Asset or any Proposed Borrowing Base Asset that would constitute a Borrowing Base Unencumbered Equity Interest Asset, such Borrowing Base Unencumbered Equity Interest Asset or Proposed Borrowing Base Asset must be: </w:t>
      </w:r>
    </w:p>
    <w:p>
      <w:pPr>
        <w:pStyle w:val="TextBody"/>
        <w:bidi w:val="0"/>
        <w:spacing w:before="120" w:after="0"/>
        <w:jc w:val="left"/>
        <w:rPr>
          <w:rFonts w:ascii="Times New Roman" w:hAnsi="Times New Roman"/>
          <w:sz w:val="20"/>
        </w:rPr>
      </w:pPr>
      <w:r>
        <w:rPr>
          <w:rFonts w:ascii="Times New Roman" w:hAnsi="Times New Roman"/>
          <w:sz w:val="20"/>
        </w:rPr>
        <w:t xml:space="preserve">(A) Capital Stock of a Person that (I) is organized in the United States or any state thereof, (II) is Wholly-Owned by the Macerich Entities and (III) directly owns or ground leases a Retail/Other Property that is located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such Retail/Other Property, free of any structural defect, title defect, environmental issue, and/or condemnation proceeding, in each case, that individually or in the aggregate has had, or is reasonably expected to have, a Property-Level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such Capital Stock of such Person and such Retail/Other Property, free of any Indebtedness or Liens other than (I) with respect to such Capital Stock only, Liens in favor of the Collateral Agent for the benefit of the Secured Parties and (II) with respect to such Retail/Other Property only, Permitted Encumbrances and Indebtedness (excluding any Indebtedness for borrowed money) in respect of such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such Capital Stock of such Person and such Retail/Other Property, not the subject of any Excepted Judgment or Specified Debt Default, </w:t>
      </w:r>
    </w:p>
    <w:p>
      <w:pPr>
        <w:pStyle w:val="TextBody"/>
        <w:bidi w:val="0"/>
        <w:spacing w:before="120" w:after="0"/>
        <w:jc w:val="left"/>
        <w:rPr>
          <w:rFonts w:ascii="Times New Roman" w:hAnsi="Times New Roman"/>
          <w:sz w:val="20"/>
        </w:rPr>
      </w:pPr>
      <w:r>
        <w:rPr>
          <w:rFonts w:ascii="Times New Roman" w:hAnsi="Times New Roman"/>
          <w:sz w:val="20"/>
        </w:rPr>
        <w:t xml:space="preserve">(E) subject to a valid and enforceable first priority pledge in favor of the Collateral Agent for the benefit of the Secured Parties pursuant to the Pledge Agreement, and </w:t>
      </w:r>
    </w:p>
    <w:p>
      <w:pPr>
        <w:pStyle w:val="TextBody"/>
        <w:bidi w:val="0"/>
        <w:spacing w:before="120" w:after="0"/>
        <w:jc w:val="left"/>
        <w:rPr>
          <w:rFonts w:ascii="Times New Roman" w:hAnsi="Times New Roman"/>
          <w:sz w:val="20"/>
        </w:rPr>
      </w:pPr>
      <w:r>
        <w:rPr>
          <w:rFonts w:ascii="Times New Roman" w:hAnsi="Times New Roman"/>
          <w:sz w:val="20"/>
        </w:rPr>
        <w:t xml:space="preserve">(F) added as a Borrowing Base Unencumbered Equity Interest Asset (which shall be deemed to have occurred automatically, without further action of the Parties, if the Capital Stock of its direct or indirect parent is already pledged pursuant to the Pledge Agreement) thereafter pursuant to </w:t>
      </w:r>
      <w:r>
        <w:rPr>
          <w:rFonts w:ascii="Times New Roman" w:hAnsi="Times New Roman"/>
          <w:sz w:val="20"/>
          <w:u w:val="single"/>
        </w:rPr>
        <w:t>Section 7.14</w:t>
      </w:r>
      <w:r>
        <w:rPr>
          <w:rFonts w:ascii="Times New Roman" w:hAnsi="Times New Roman"/>
          <w:sz w:val="20"/>
        </w:rPr>
        <w:t xml:space="preserve"> (whether as a Borrowing Base Asset Substitution or otherwise) solely after the occurrence of the Mortgage Security Release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Borrowing Base Deliverables</w:t>
      </w:r>
      <w:r>
        <w:rPr>
          <w:rFonts w:ascii="Times New Roman" w:hAnsi="Times New Roman"/>
          <w:sz w:val="20"/>
        </w:rPr>
        <w:t xml:space="preserve">” shall mean, with respect to any Proposed Borrowing Base Asset, the following items, each in form and substance satisfactory to the Administrative Agent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(i) a certificate of the chief financial officer (or other Responsible Officer) of MAC, dated the date of the addition of such Proposed Borrowing Base Asset to the Collateral as a Borrowing Base Asset, confirming that (A) the Proposed Borrowing Base Asset satisfies all Borrowing Base Criteria, (B) no Potential Default or Event of Default has occurred and is continuing, and the addition of such Proposed Borrowing Base Asset as a Borrowing Base Asset will not cause or result in a Potential Default or Event of Default, (C) the representations and warranties made by the Borrower Parties in the Loan Documents with respect to the asset proposed to be added as a Borrowing Base Asset are true and correct in all material respects (except for changes in factual circumstances not prohibited under the Loan Documents and except further that, in the event any exception or disclosure schedule provided to Administrative Agent in connection with such representations and warranties is proposed by the Borrower to be updated, any such updates shall be non-material and shall be approved by the Administrative Agent in its good faith judgment) on and as of the date when made and on and as of the date of the addition of such Proposed Borrowing Base Asset (or, if any such representation or warranty is expressly stated to have been made as of a specific date, as of such specific date); </w:t>
      </w:r>
      <w:r>
        <w:rPr>
          <w:rFonts w:ascii="Times New Roman" w:hAnsi="Times New Roman"/>
          <w:sz w:val="20"/>
          <w:u w:val="single"/>
        </w:rPr>
        <w:t>provided however</w:t>
      </w:r>
      <w:r>
        <w:rPr>
          <w:rFonts w:ascii="Times New Roman" w:hAnsi="Times New Roman"/>
          <w:sz w:val="20"/>
        </w:rPr>
        <w:t xml:space="preserve">, that any representation or warranty that is qualified as to materiality or Material Adverse Effect or similar language shall be true and correct in all respects subject to such qualifiers, and (D) the Borrower Parties are in compliance with the covenants contained in </w:t>
      </w:r>
      <w:r>
        <w:rPr>
          <w:rFonts w:ascii="Times New Roman" w:hAnsi="Times New Roman"/>
          <w:sz w:val="20"/>
          <w:u w:val="single"/>
        </w:rPr>
        <w:t>Section 8.11</w:t>
      </w:r>
      <w:r>
        <w:rPr>
          <w:rFonts w:ascii="Times New Roman" w:hAnsi="Times New Roman"/>
          <w:sz w:val="20"/>
        </w:rPr>
        <w:t xml:space="preserve"> that are in effect at such time (both immediately before and on a pro forma basis immediately after the addition of such Proposed Borrowing Base Asset as a Borrowing Base Asset), together with supporting information demonstrating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(ii) a Borrowing Base Certificate demonstrating that the Borrowing Base Amount (calculated on a pro forma basis after giving effect to the addition of such Proposed Borrowing Base Asset to the Collateral as a Borrowing Base Asset and to any Revolving Loans made and Letters of Credit issued, amended or extended at the time thereof) will be greater than or equal to the aggregate Revolving Credit Exposures of all Revolving Lenders; </w:t>
      </w:r>
    </w:p>
    <w:p>
      <w:pPr>
        <w:pStyle w:val="TextBody"/>
        <w:bidi w:val="0"/>
        <w:spacing w:before="240" w:after="0"/>
        <w:jc w:val="left"/>
        <w:rPr>
          <w:rFonts w:ascii="Times New Roman" w:hAnsi="Times New Roman"/>
          <w:sz w:val="20"/>
        </w:rPr>
      </w:pPr>
      <w:r>
        <w:rPr>
          <w:rFonts w:ascii="Times New Roman" w:hAnsi="Times New Roman"/>
          <w:sz w:val="20"/>
        </w:rPr>
        <w:t xml:space="preserve">(iii) each of the items set forth in </w:t>
      </w:r>
      <w:r>
        <w:rPr>
          <w:rFonts w:ascii="Times New Roman" w:hAnsi="Times New Roman"/>
          <w:sz w:val="20"/>
          <w:u w:val="single"/>
        </w:rPr>
        <w:t>Sections 5.1</w:t>
      </w:r>
      <w:r>
        <w:rPr>
          <w:rFonts w:ascii="Times New Roman" w:hAnsi="Times New Roman"/>
          <w:sz w:val="20"/>
        </w:rPr>
        <w:t xml:space="preserve">, </w:t>
      </w:r>
      <w:r>
        <w:rPr>
          <w:rFonts w:ascii="Times New Roman" w:hAnsi="Times New Roman"/>
          <w:sz w:val="20"/>
          <w:u w:val="single"/>
        </w:rPr>
        <w:t>7.14</w:t>
      </w:r>
      <w:r>
        <w:rPr>
          <w:rFonts w:ascii="Times New Roman" w:hAnsi="Times New Roman"/>
          <w:sz w:val="20"/>
        </w:rPr>
        <w:t xml:space="preserve"> and </w:t>
      </w:r>
      <w:r>
        <w:rPr>
          <w:rFonts w:ascii="Times New Roman" w:hAnsi="Times New Roman"/>
          <w:sz w:val="20"/>
          <w:u w:val="single"/>
        </w:rPr>
        <w:t>7.18</w:t>
      </w:r>
      <w:r>
        <w:rPr>
          <w:rFonts w:ascii="Times New Roman" w:hAnsi="Times New Roman"/>
          <w:sz w:val="20"/>
        </w:rPr>
        <w:t xml:space="preserve">, in each case to the extent applicable for the Proposed Borrowing Base Asset and for any Subsidiary Guarantor to the extent not previously satisfied with respect to such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(iv) reports supplementing Schedules I and III hereto, including descriptions of such changes in the information included in such Schedules as may be necessary for such Schedules to be accurate and complete, certified as correct and complete by a Responsible Officer of the Borrower; </w:t>
      </w:r>
      <w:r>
        <w:rPr>
          <w:rFonts w:ascii="Times New Roman" w:hAnsi="Times New Roman"/>
          <w:sz w:val="20"/>
          <w:u w:val="single"/>
        </w:rPr>
        <w:t>provided</w:t>
      </w:r>
      <w:r>
        <w:rPr>
          <w:rFonts w:ascii="Times New Roman" w:hAnsi="Times New Roman"/>
          <w:sz w:val="20"/>
        </w:rPr>
        <w:t xml:space="preserve"> that for purposes of the definition of the terms Borrowing Base Assets and Borrowing Base Amount, the supplement to</w:t>
      </w:r>
      <w:r>
        <w:rPr>
          <w:rFonts w:ascii="Times New Roman" w:hAnsi="Times New Roman"/>
          <w:sz w:val="20"/>
          <w:u w:val="single"/>
        </w:rPr>
        <w:t xml:space="preserve"> Schedule I</w:t>
      </w:r>
      <w:r>
        <w:rPr>
          <w:rFonts w:ascii="Times New Roman" w:hAnsi="Times New Roman"/>
          <w:sz w:val="20"/>
        </w:rPr>
        <w:t xml:space="preserve"> shall become effective only upon delivery of all Borrowing Base Deliverables and approval thereof by the Administrative Agent; and </w:t>
      </w:r>
    </w:p>
    <w:p>
      <w:pPr>
        <w:pStyle w:val="TextBody"/>
        <w:bidi w:val="0"/>
        <w:spacing w:before="240" w:after="0"/>
        <w:jc w:val="left"/>
        <w:rPr>
          <w:rFonts w:ascii="Times New Roman" w:hAnsi="Times New Roman"/>
          <w:sz w:val="20"/>
        </w:rPr>
      </w:pPr>
      <w:r>
        <w:rPr>
          <w:rFonts w:ascii="Times New Roman" w:hAnsi="Times New Roman"/>
          <w:sz w:val="20"/>
        </w:rPr>
        <w:t xml:space="preserve">(v) such other approvals, opinions or documents as the Administrative Agent may reasonably request. </w:t>
      </w:r>
    </w:p>
    <w:p>
      <w:pPr>
        <w:pStyle w:val="TextBody"/>
        <w:bidi w:val="0"/>
        <w:spacing w:before="240" w:after="0"/>
        <w:jc w:val="left"/>
        <w:rPr/>
      </w:pPr>
      <w:r>
        <w:rPr/>
        <w:t>“</w:t>
      </w:r>
      <w:r>
        <w:rPr>
          <w:rFonts w:ascii="Times New Roman" w:hAnsi="Times New Roman"/>
          <w:sz w:val="20"/>
          <w:u w:val="single"/>
        </w:rPr>
        <w:t>Borrowing Base Equity Interest Asset</w:t>
      </w:r>
      <w:r>
        <w:rPr>
          <w:rFonts w:ascii="Times New Roman" w:hAnsi="Times New Roman"/>
          <w:sz w:val="20"/>
        </w:rPr>
        <w:t xml:space="preserve">” shall mean Capital Stock that at all times satisfies the Borrowing Base Criteria applicable to Borrowing Base Equity Interest Assets (unless waived by the Administrative Agent and the Required Lenders) and (i) either (A) is listed on </w:t>
      </w:r>
      <w:r>
        <w:rPr>
          <w:rFonts w:ascii="Times New Roman" w:hAnsi="Times New Roman"/>
          <w:sz w:val="20"/>
          <w:u w:val="single"/>
        </w:rPr>
        <w:t>Schedule I</w:t>
      </w:r>
      <w:r>
        <w:rPr>
          <w:rFonts w:ascii="Times New Roman" w:hAnsi="Times New Roman"/>
          <w:sz w:val="20"/>
        </w:rPr>
        <w:t xml:space="preserve"> hereto under the heading “Borrowing Base Equity Interest Assets” on the Closing Date, (B) for which the applicable conditions in </w:t>
      </w:r>
      <w:r>
        <w:rPr>
          <w:rFonts w:ascii="Times New Roman" w:hAnsi="Times New Roman"/>
          <w:sz w:val="20"/>
          <w:u w:val="single"/>
        </w:rPr>
        <w:t>Section 7.14</w:t>
      </w:r>
      <w:r>
        <w:rPr>
          <w:rFonts w:ascii="Times New Roman" w:hAnsi="Times New Roman"/>
          <w:sz w:val="20"/>
        </w:rPr>
        <w:t xml:space="preserve"> have been satisfied (as may be reasonably determined by the Administrative Agent) or (C) is the result of a Borrowing Base Asset Substitution and (ii) excluding, in each case, any such Borrowing Base Equity Interest Asset that ceases to be a Borrowing Base Asset pursuant to </w:t>
      </w:r>
      <w:r>
        <w:rPr>
          <w:rFonts w:ascii="Times New Roman" w:hAnsi="Times New Roman"/>
          <w:sz w:val="20"/>
          <w:u w:val="single"/>
        </w:rPr>
        <w:t>Section 8.4(3)</w:t>
      </w:r>
      <w:r>
        <w:rPr>
          <w:rFonts w:ascii="Times New Roman" w:hAnsi="Times New Roman"/>
          <w:sz w:val="20"/>
        </w:rPr>
        <w:t xml:space="preserve">, a Borrowing Base Asset Substitution or a release under </w:t>
      </w:r>
      <w:r>
        <w:rPr>
          <w:rFonts w:ascii="Times New Roman" w:hAnsi="Times New Roman"/>
          <w:sz w:val="20"/>
          <w:u w:val="single"/>
        </w:rPr>
        <w:t>Section 10.12</w:t>
      </w:r>
      <w:r>
        <w:rPr>
          <w:rFonts w:ascii="Times New Roman" w:hAnsi="Times New Roman"/>
          <w:sz w:val="20"/>
        </w:rPr>
        <w:t xml:space="preserve"> in connection with a Financing or Joint Venture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Borrowing Base Equity Interest Asset Owner</w:t>
      </w:r>
      <w:r>
        <w:rPr>
          <w:rFonts w:ascii="Times New Roman" w:hAnsi="Times New Roman"/>
          <w:sz w:val="20"/>
        </w:rPr>
        <w:t xml:space="preserve">” shall mean the Person that directly owns and provides a pledge of the applicable Borrowing Base Equity Interest Asset. </w:t>
      </w:r>
    </w:p>
    <w:p>
      <w:pPr>
        <w:pStyle w:val="TextBody"/>
        <w:bidi w:val="0"/>
        <w:spacing w:before="240" w:after="0"/>
        <w:jc w:val="left"/>
        <w:rPr/>
      </w:pPr>
      <w:r>
        <w:rPr/>
        <w:t>“</w:t>
      </w:r>
      <w:r>
        <w:rPr>
          <w:rFonts w:ascii="Times New Roman" w:hAnsi="Times New Roman"/>
          <w:sz w:val="20"/>
          <w:u w:val="single"/>
        </w:rPr>
        <w:t>Borrowing Base Leases</w:t>
      </w:r>
      <w:r>
        <w:rPr>
          <w:rFonts w:ascii="Times New Roman" w:hAnsi="Times New Roman"/>
          <w:sz w:val="20"/>
        </w:rPr>
        <w:t xml:space="preserve">” shall mean Leases entered into by a Borrower Party (as landlord) with respect to a Borrowing Base Mortgaged Property Asset. </w:t>
      </w:r>
    </w:p>
    <w:p>
      <w:pPr>
        <w:pStyle w:val="TextBody"/>
        <w:bidi w:val="0"/>
        <w:spacing w:before="240" w:after="0"/>
        <w:jc w:val="left"/>
        <w:rPr/>
      </w:pPr>
      <w:r>
        <w:rPr/>
        <w:t>“</w:t>
      </w:r>
      <w:r>
        <w:rPr>
          <w:rFonts w:ascii="Times New Roman" w:hAnsi="Times New Roman"/>
          <w:sz w:val="20"/>
          <w:u w:val="single"/>
        </w:rPr>
        <w:t>Borrowing Base Mortgaged Property Asset</w:t>
      </w:r>
      <w:r>
        <w:rPr>
          <w:rFonts w:ascii="Times New Roman" w:hAnsi="Times New Roman"/>
          <w:sz w:val="20"/>
        </w:rPr>
        <w:t xml:space="preserve">” shall mean each Mortgaged Property that at all times satisfies the applicable Borrowing Base Criteria (unless waived by the Administrative Agent and the Required Lenders) and (i) either (A) is listed on </w:t>
      </w:r>
      <w:r>
        <w:rPr>
          <w:rFonts w:ascii="Times New Roman" w:hAnsi="Times New Roman"/>
          <w:sz w:val="20"/>
          <w:u w:val="single"/>
        </w:rPr>
        <w:t>Schedule I</w:t>
      </w:r>
      <w:r>
        <w:rPr>
          <w:rFonts w:ascii="Times New Roman" w:hAnsi="Times New Roman"/>
          <w:sz w:val="20"/>
        </w:rPr>
        <w:t xml:space="preserve"> hereto under the heading “Borrowing Base Mortgaged Property Assets” on the Closing Date, (B) for which the applicable conditions in </w:t>
      </w:r>
      <w:r>
        <w:rPr>
          <w:rFonts w:ascii="Times New Roman" w:hAnsi="Times New Roman"/>
          <w:sz w:val="20"/>
          <w:u w:val="single"/>
        </w:rPr>
        <w:t>Section 7.14</w:t>
      </w:r>
      <w:r>
        <w:rPr>
          <w:rFonts w:ascii="Times New Roman" w:hAnsi="Times New Roman"/>
          <w:sz w:val="20"/>
        </w:rPr>
        <w:t xml:space="preserve"> have been satisfied (as may be determined by the Administrative Agent in accordance therewith) or (C) is the result of a Borrowing Base Asset Substitution and (ii) excluding, in each case, any such Borrowing Base Mortgaged Property Asset that ceases to be a Borrowing Base Asset pursuant to </w:t>
      </w:r>
      <w:r>
        <w:rPr>
          <w:rFonts w:ascii="Times New Roman" w:hAnsi="Times New Roman"/>
          <w:sz w:val="20"/>
          <w:u w:val="single"/>
        </w:rPr>
        <w:t>Section 8.4(3)</w:t>
      </w:r>
      <w:r>
        <w:rPr>
          <w:rFonts w:ascii="Times New Roman" w:hAnsi="Times New Roman"/>
          <w:sz w:val="20"/>
        </w:rPr>
        <w:t xml:space="preserve">, a Borrowing Base Asset Substitution or a release under </w:t>
      </w:r>
      <w:r>
        <w:rPr>
          <w:rFonts w:ascii="Times New Roman" w:hAnsi="Times New Roman"/>
          <w:sz w:val="20"/>
          <w:u w:val="single"/>
        </w:rPr>
        <w:t>Section 10.12</w:t>
      </w:r>
      <w:r>
        <w:rPr>
          <w:rFonts w:ascii="Times New Roman" w:hAnsi="Times New Roman"/>
          <w:sz w:val="20"/>
        </w:rPr>
        <w:t xml:space="preserve"> in connection with a Financing or Joint Venture Transaction. </w:t>
      </w:r>
    </w:p>
    <w:p>
      <w:pPr>
        <w:pStyle w:val="TextBody"/>
        <w:bidi w:val="0"/>
        <w:spacing w:before="240" w:after="0"/>
        <w:jc w:val="left"/>
        <w:rPr/>
      </w:pPr>
      <w:r>
        <w:rPr/>
        <w:t>“</w:t>
      </w:r>
      <w:r>
        <w:rPr>
          <w:rFonts w:ascii="Times New Roman" w:hAnsi="Times New Roman"/>
          <w:sz w:val="20"/>
          <w:u w:val="single"/>
        </w:rPr>
        <w:t>Borrowing Base Ownership Share</w:t>
      </w:r>
      <w:r>
        <w:rPr>
          <w:rFonts w:ascii="Times New Roman" w:hAnsi="Times New Roman"/>
          <w:sz w:val="20"/>
        </w:rPr>
        <w:t xml:space="preserve">” shall mean (i) with respect to any Cap Rate Property, the percentage of such Cap Rate Property directly or indirectly owned by the applicable Borrowing Base Equity Interest Asset Owner through its ownership of (or its right to distributable cash from) the applicable Borrowing Base Equity Interest Asset (for purposes of illustration, if the applicable Borrowing Base Equity Interest Asset constitutes 60.00% of the Capital Stock of a Person who in turn owns 50.00% of the applicable Cap Rate Property, the Borrowing Base Ownership Share is 30.00%) and (ii) with respect to any Borrowing Base Unencumbered Asset, the percentage of such Borrowing Base Unencumbered Asset that is directly or indirectly owned by the Macerich Entities (or the percentage of distributable cash from such Borrowing Base Unencumbered Asset to which the applicable MAC controlled Person is entitled). </w:t>
      </w:r>
    </w:p>
    <w:p>
      <w:pPr>
        <w:pStyle w:val="TextBody"/>
        <w:bidi w:val="0"/>
        <w:spacing w:before="240" w:after="0"/>
        <w:jc w:val="left"/>
        <w:rPr/>
      </w:pPr>
      <w:r>
        <w:rPr/>
        <w:t>“</w:t>
      </w:r>
      <w:r>
        <w:rPr>
          <w:rFonts w:ascii="Times New Roman" w:hAnsi="Times New Roman"/>
          <w:sz w:val="20"/>
          <w:u w:val="single"/>
        </w:rPr>
        <w:t>Borrowing Base Unencumbered Asset</w:t>
      </w:r>
      <w:r>
        <w:rPr>
          <w:rFonts w:ascii="Times New Roman" w:hAnsi="Times New Roman"/>
          <w:sz w:val="20"/>
        </w:rPr>
        <w:t>” shall mean any Retail/Other Property for which at all times the Borrowing Base Criteria applicable to Borrowing Base Unencumbered Assets are satisfied (unless waived by the Administrative Agent and the Required Lenders) and (i) either (A) is listed on</w:t>
      </w:r>
      <w:r>
        <w:rPr>
          <w:rFonts w:ascii="Times New Roman" w:hAnsi="Times New Roman"/>
          <w:sz w:val="20"/>
          <w:u w:val="single"/>
        </w:rPr>
        <w:t xml:space="preserve"> Schedule I</w:t>
      </w:r>
      <w:r>
        <w:rPr>
          <w:rFonts w:ascii="Times New Roman" w:hAnsi="Times New Roman"/>
          <w:sz w:val="20"/>
        </w:rPr>
        <w:t xml:space="preserve"> hereto under the heading “Borrowing Base Unencumbered Assets” on the Closing Date, (B) for which the applicable conditions in </w:t>
      </w:r>
      <w:r>
        <w:rPr>
          <w:rFonts w:ascii="Times New Roman" w:hAnsi="Times New Roman"/>
          <w:sz w:val="20"/>
          <w:u w:val="single"/>
        </w:rPr>
        <w:t>Section 7.14</w:t>
      </w:r>
      <w:r>
        <w:rPr>
          <w:rFonts w:ascii="Times New Roman" w:hAnsi="Times New Roman"/>
          <w:sz w:val="20"/>
        </w:rPr>
        <w:t xml:space="preserve"> have been satisfied (as may be reasonably determined by the Administrative Agent) or (C) is the result of a Borrowing Base Asset Substitution and (ii) excluding, in each case, any such Borrowing Base Unencumbered Asset that ceases to be a Borrowing Base Asset pursuant to </w:t>
      </w:r>
      <w:r>
        <w:rPr>
          <w:rFonts w:ascii="Times New Roman" w:hAnsi="Times New Roman"/>
          <w:sz w:val="20"/>
          <w:u w:val="single"/>
        </w:rPr>
        <w:t>Section 8.4(3)</w:t>
      </w:r>
      <w:r>
        <w:rPr>
          <w:rFonts w:ascii="Times New Roman" w:hAnsi="Times New Roman"/>
          <w:sz w:val="20"/>
        </w:rPr>
        <w:t xml:space="preserve">, a Borrowing Base Asset Substitution or a designation as a non-Borrowing Base Asset under </w:t>
      </w:r>
      <w:r>
        <w:rPr>
          <w:rFonts w:ascii="Times New Roman" w:hAnsi="Times New Roman"/>
          <w:sz w:val="20"/>
          <w:u w:val="single"/>
        </w:rPr>
        <w:t>Section 10.12</w:t>
      </w:r>
      <w:r>
        <w:rPr>
          <w:rFonts w:ascii="Times New Roman" w:hAnsi="Times New Roman"/>
          <w:sz w:val="20"/>
        </w:rPr>
        <w:t xml:space="preserve"> in connection with a Financing or Joint Venture Transaction described in clause (iii) of the definition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Borrowing Base Unencumbered Equity Interest Asset</w:t>
      </w:r>
      <w:r>
        <w:rPr>
          <w:rFonts w:ascii="Times New Roman" w:hAnsi="Times New Roman"/>
          <w:sz w:val="20"/>
        </w:rPr>
        <w:t xml:space="preserve">” shall mean Capital Stock that at all times satisfies the Borrowing Base Criteria applicable to Borrowing Base Unencumbered Equity Interest Assets (unless waived by the Administrative Agent and the Required Lenders) and (i) either (A) for which the applicable conditions in </w:t>
      </w:r>
      <w:r>
        <w:rPr>
          <w:rFonts w:ascii="Times New Roman" w:hAnsi="Times New Roman"/>
          <w:sz w:val="20"/>
          <w:u w:val="single"/>
        </w:rPr>
        <w:t>Section 7.14</w:t>
      </w:r>
      <w:r>
        <w:rPr>
          <w:rFonts w:ascii="Times New Roman" w:hAnsi="Times New Roman"/>
          <w:sz w:val="20"/>
        </w:rPr>
        <w:t xml:space="preserve"> have been satisfied (as may be reasonably determined by the Administrative Agent) or (B) is the result of a Borrowing Base Asset Substitution and (ii) excluding, in each case, any such Borrowing Base Unencumbered Equity Interest Asset that ceases to be a Borrowing Base Asset pursuant to </w:t>
      </w:r>
      <w:r>
        <w:rPr>
          <w:rFonts w:ascii="Times New Roman" w:hAnsi="Times New Roman"/>
          <w:sz w:val="20"/>
          <w:u w:val="single"/>
        </w:rPr>
        <w:t>Section 8.4(3)</w:t>
      </w:r>
      <w:r>
        <w:rPr>
          <w:rFonts w:ascii="Times New Roman" w:hAnsi="Times New Roman"/>
          <w:sz w:val="20"/>
        </w:rPr>
        <w:t xml:space="preserve">, a Borrowing Base Asset Substitution or a release under </w:t>
      </w:r>
      <w:r>
        <w:rPr>
          <w:rFonts w:ascii="Times New Roman" w:hAnsi="Times New Roman"/>
          <w:sz w:val="20"/>
          <w:u w:val="single"/>
        </w:rPr>
        <w:t>Section 10.12</w:t>
      </w:r>
      <w:r>
        <w:rPr>
          <w:rFonts w:ascii="Times New Roman" w:hAnsi="Times New Roman"/>
          <w:sz w:val="20"/>
        </w:rPr>
        <w:t xml:space="preserve"> in connection with a Financing or Joint Venture Transaction; </w:t>
      </w:r>
      <w:r>
        <w:rPr>
          <w:rFonts w:ascii="Times New Roman" w:hAnsi="Times New Roman"/>
          <w:sz w:val="20"/>
          <w:u w:val="single"/>
        </w:rPr>
        <w:t>provided</w:t>
      </w:r>
      <w:r>
        <w:rPr>
          <w:rFonts w:ascii="Times New Roman" w:hAnsi="Times New Roman"/>
          <w:sz w:val="20"/>
        </w:rPr>
        <w:t xml:space="preserve"> for the avoidance of doubt, that no Capital Stock (or other property) shall constitute or otherwise be eligible to constitute a Borrowing Base Unencumbered Equity Interest Asset until the occurrence of the Mortgage Security Release Event. </w:t>
      </w:r>
    </w:p>
    <w:p>
      <w:pPr>
        <w:pStyle w:val="TextBody"/>
        <w:bidi w:val="0"/>
        <w:spacing w:before="240" w:after="0"/>
        <w:jc w:val="left"/>
        <w:rPr/>
      </w:pPr>
      <w:r>
        <w:rPr/>
        <w:t>“</w:t>
      </w:r>
      <w:r>
        <w:rPr>
          <w:rFonts w:ascii="Times New Roman" w:hAnsi="Times New Roman"/>
          <w:sz w:val="20"/>
          <w:u w:val="single"/>
        </w:rPr>
        <w:t>Borrowing Base Unencumbered Equity Interest Asset Owner</w:t>
      </w:r>
      <w:r>
        <w:rPr>
          <w:rFonts w:ascii="Times New Roman" w:hAnsi="Times New Roman"/>
          <w:sz w:val="20"/>
        </w:rPr>
        <w:t xml:space="preserve">” shall mean the Person that directly owns and provides a pledge of the applicable Borrowing Base Unencumbered Equity Interest Asset. </w:t>
      </w:r>
    </w:p>
    <w:p>
      <w:pPr>
        <w:pStyle w:val="TextBody"/>
        <w:bidi w:val="0"/>
        <w:spacing w:before="240" w:after="0"/>
        <w:jc w:val="left"/>
        <w:rPr/>
      </w:pPr>
      <w:r>
        <w:rPr/>
        <w:t>“</w:t>
      </w:r>
      <w:r>
        <w:rPr>
          <w:rFonts w:ascii="Times New Roman" w:hAnsi="Times New Roman"/>
          <w:sz w:val="20"/>
          <w:u w:val="single"/>
        </w:rPr>
        <w:t>Borrowing Base Value</w:t>
      </w:r>
      <w:r>
        <w:rPr>
          <w:rFonts w:ascii="Times New Roman" w:hAnsi="Times New Roman"/>
          <w:sz w:val="20"/>
        </w:rPr>
        <w:t xml:space="preserve">” shall mean, as of any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(I) any Borrowing Base Mortgaged Property Asset (including the Stonewood Property while it is a Borrowing Base Mortgaged Property Asset) (other than the Specified Borrowing Base Mortgaged Property Assets and any Borrowing Base Mortgaged Property Asset acquired following the Closing Date), an amount equal to (i) the Property NOI of such Borrowing Base Mortgaged Property Asset divided by (ii) 12.00% and (II) any Borrowing Base Mortgaged Property Asset acquired following the Closing Date), an amount equal to (i) the Property NOI of such Borrowing Base Mortgaged Property Asset divided by (ii) a percentage capitalization rate equal to the Acquisition/Appraisal Capitalization Rate;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any Former Mervyn’s Box Borrowing Base Mortgaged Property Asset, an amount equal to (i) the Property NOI of such Former Mervyn’s Box Borrowing Base Mortgaged Property Asset divided by (ii) 20.00%;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Agent Accepted Ground Lease Borrowing Base Mortgaged Property Asset, a value to be agreed between the Borrower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any Borrowing Base Equity Interest Asset that constitutes the Capital Stock of the direct or indirect owner of an interest in a 6.0% Cap Rate Property, an amount, if positive, equal to (i) an amount equal to (A) the Property NOI of such 6.0% Cap Rate Property divided by (B) 6.00% multiplied by (C) 75.00% minus (ii) an amount equal to (A) the aggregate principal amount of Indebtedness secured by such 6.0% Cap Rate Property multiplied by (B) the Borrowing Base Ownership Share with respect to such 6.0% Cap Rate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the case of any Borrowing Base Equity Interest Asset that constitutes the Capital Stock of the direct or indirect owner of an interest in a 7.0% Cap Rate Property, an amount, if positive, equal to (i) an amount equal to (A) the Property NOI of such 7.0% Cap Rate Property divided by (B) 7.0% multiplied by (C) 75.00% minus (ii) an amount equal to (A) the aggregate principal amount of Indebtedness secured by such 7.0% Cap Rate Property multiplied by (B) the Borrowing Base Ownership Share with respect to such 7.0% Cap Rate Property; </w:t>
      </w:r>
    </w:p>
    <w:p>
      <w:pPr>
        <w:pStyle w:val="TextBody"/>
        <w:bidi w:val="0"/>
        <w:spacing w:before="120" w:after="0"/>
        <w:jc w:val="left"/>
        <w:rPr>
          <w:rFonts w:ascii="Times New Roman" w:hAnsi="Times New Roman"/>
          <w:sz w:val="20"/>
        </w:rPr>
      </w:pPr>
      <w:r>
        <w:rPr>
          <w:rFonts w:ascii="Times New Roman" w:hAnsi="Times New Roman"/>
          <w:sz w:val="20"/>
        </w:rPr>
        <w:t xml:space="preserve">(f) in the case of any Borrowing Base Equity Interest Asset that constitutes the Capital Stock of the direct or indirect owner of an interest in a 10.0% Cap Rate Property, an amount, if positive, equal to (i) an amount equal to (A) the Property NOI of such 10.0% Cap Rate Property divided by (B) 10.00% multiplied by (C) 75.00% minus (ii) an amount equal to (A) the aggregate principal amount of Indebtedness secured by such 10.0% Cap Rate Property multiplied by (B) the Borrowing Base Ownership Share with respect to such 10.0% Cap Rate Property; </w:t>
      </w:r>
    </w:p>
    <w:p>
      <w:pPr>
        <w:pStyle w:val="TextBody"/>
        <w:bidi w:val="0"/>
        <w:spacing w:before="120" w:after="0"/>
        <w:jc w:val="left"/>
        <w:rPr>
          <w:rFonts w:ascii="Times New Roman" w:hAnsi="Times New Roman"/>
          <w:sz w:val="20"/>
        </w:rPr>
      </w:pPr>
      <w:r>
        <w:rPr>
          <w:rFonts w:ascii="Times New Roman" w:hAnsi="Times New Roman"/>
          <w:sz w:val="20"/>
        </w:rPr>
        <w:t xml:space="preserve">(g) in the case of any Borrowing Base Equity Interest Asset that constitutes the Capital Stock of the direct or indirect owner of an interest in an Other Cap Rate Property, an amount, if positive, equal to (i) an amount equal to (A) the Property NOI of such Other Cap Rate Property divided by (B) a percentage capitalization rate equal to the Acquisition/Appraisal Capitalization Rate multiplied by (C) 75.00% minus (ii) an amount equal to (A) the aggregate principal amount of Indebtedness secured by such Other Cap Rate Property multiplied by (B) the Borrowing Base Ownership Share with respect to such Other Cap Rate Property; </w:t>
      </w:r>
    </w:p>
    <w:p>
      <w:pPr>
        <w:pStyle w:val="TextBody"/>
        <w:bidi w:val="0"/>
        <w:spacing w:before="120" w:after="0"/>
        <w:jc w:val="left"/>
        <w:rPr>
          <w:rFonts w:ascii="Times New Roman" w:hAnsi="Times New Roman"/>
          <w:sz w:val="20"/>
        </w:rPr>
      </w:pPr>
      <w:r>
        <w:rPr>
          <w:rFonts w:ascii="Times New Roman" w:hAnsi="Times New Roman"/>
          <w:sz w:val="20"/>
        </w:rPr>
        <w:t xml:space="preserve">(h) in the case of any Borrowing Base Unencumbered Asset, an amount equal to (i) the Property NOI of such Borrowing Base Unencumbered Asset divided by (ii) 12.00% multiplied by (iii) the Borrowing Base Ownership Share with respect to such Borrowing Base Unencumbered Asset; and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any Borrowing Base Unencumbered Equity Interest Asset that constitutes the Capital Stock of the direct owner of an interest in an Unencumbered Pool Property, an amount, if positive, equal to (i) an amount equal to (A) the Property NOI of such Unencumbered Pool Property divided by (B) a percentage capitalization rate for such Unencumbered Pool Property that, if applicable, applied when such Borrowing Base Unencumbered Equity Interest Asset was a Borrowing Base Mortgaged Property Asset, or otherwise, a percentage capitalization rate equal to the Acquisition/Appraisal Capitalization Rate multiplied by (ii) 65.00%; </w:t>
      </w:r>
    </w:p>
    <w:p>
      <w:pPr>
        <w:pStyle w:val="TextBody"/>
        <w:bidi w:val="0"/>
        <w:spacing w:before="240" w:after="0"/>
        <w:jc w:val="left"/>
        <w:rPr>
          <w:rFonts w:ascii="Times New Roman" w:hAnsi="Times New Roman"/>
          <w:sz w:val="20"/>
        </w:rPr>
      </w:pPr>
      <w:r>
        <w:rPr>
          <w:rFonts w:ascii="Times New Roman" w:hAnsi="Times New Roman"/>
          <w:sz w:val="20"/>
        </w:rPr>
        <w:t xml:space="preserve">provided that the Borrowing Base Value with respect to any Real Property that is the subject of a Specified Change of Control Event shall be excluded in the calculation of Borrowing Base Value. If and to the extent Borrowing Base Ownership Share is used in the above, Property NOI shall be adjusted to avoid discounting the Borrower Parties’ pro rata share twice.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shall mean a request by the Borrower for a Borrowing in accordance with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Bullet Payment</w:t>
      </w:r>
      <w:r>
        <w:rPr>
          <w:rFonts w:ascii="Times New Roman" w:hAnsi="Times New Roman"/>
          <w:sz w:val="20"/>
        </w:rPr>
        <w:t xml:space="preserve">” shall mean any payment of the entire unpaid balance of any Indebtedness at its final maturity other than the final payment with respect to a loan that is fully amortized over its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Day</w:t>
      </w:r>
      <w:r>
        <w:rPr>
          <w:rFonts w:ascii="Times New Roman" w:hAnsi="Times New Roman"/>
          <w:sz w:val="20"/>
        </w:rPr>
        <w:t>” shall mean any day other than a Saturday, a Sunday or a day on which banks in Los Angeles, California or New York, New York are authorized or obligated to close their regular banking business;</w:t>
      </w:r>
      <w:r>
        <w:rPr>
          <w:rFonts w:ascii="Times New Roman" w:hAnsi="Times New Roman"/>
          <w:sz w:val="20"/>
          <w:u w:val="single"/>
        </w:rPr>
        <w:t xml:space="preserve"> provided</w:t>
      </w:r>
      <w:r>
        <w:rPr>
          <w:rFonts w:ascii="Times New Roman" w:hAnsi="Times New Roman"/>
          <w:sz w:val="20"/>
        </w:rPr>
        <w:t xml:space="preserve"> that the term “Business Day” as used with respect to the Letter of Credit provisions of this Agreement (including, without limitation, </w:t>
      </w:r>
      <w:r>
        <w:rPr>
          <w:rFonts w:ascii="Times New Roman" w:hAnsi="Times New Roman"/>
          <w:sz w:val="20"/>
          <w:u w:val="single"/>
        </w:rPr>
        <w:t>Section 1.4</w:t>
      </w:r>
      <w:r>
        <w:rPr>
          <w:rFonts w:ascii="Times New Roman" w:hAnsi="Times New Roman"/>
          <w:sz w:val="20"/>
        </w:rPr>
        <w:t xml:space="preserve">) shall be defined as otherwise set forth above but shall not include the reference to “Los Angeles, California”;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when the term “Business Day” is used in connection with a Term SOFR Loan or Term SOFR Borrowing (including the definition of “Interest Period” as it relates to Term SOFR Loans), the term “Business Day” shall also exclude any day that is not a U.S. Government Securities Business Day. </w:t>
      </w:r>
    </w:p>
    <w:p>
      <w:pPr>
        <w:pStyle w:val="TextBody"/>
        <w:bidi w:val="0"/>
        <w:spacing w:before="240" w:after="0"/>
        <w:jc w:val="left"/>
        <w:rPr/>
      </w:pPr>
      <w:r>
        <w:rPr/>
        <w:t>“</w:t>
      </w:r>
      <w:r>
        <w:rPr>
          <w:rFonts w:ascii="Times New Roman" w:hAnsi="Times New Roman"/>
          <w:sz w:val="20"/>
          <w:u w:val="single"/>
        </w:rPr>
        <w:t>Capitalization Value</w:t>
      </w:r>
      <w:r>
        <w:rPr>
          <w:rFonts w:ascii="Times New Roman" w:hAnsi="Times New Roman"/>
          <w:sz w:val="20"/>
        </w:rPr>
        <w:t xml:space="preserve">” shall mean, as of any date of determination, the sum of (without duplication) (i) Property NOI of all Real Property (other than Real Property Under Construction, Material Acquisition Assets and undeveloped land) of the Macerich Entities for the twelve months then most recently ended on or prior to such date, divided by 8.00%, plus (ii) the aggregate amount of all cash and Cash Equivalents (other than Restricted Cash) of the Borrower Parties and other Consolidated Entities (excluding, for the avoidance of doubt, any tenant security or other restricted deposits owned by others) as of such date, plus (iii) the aggregate value of all Real Property Under Construction of the Borrower Parties and other Consolidated Entities as of such date at cost, plus (iv) the aggregate value of all undeveloped land of the Borrower Parties and other Consolidated Entities as of such date determined in accordance with GAAP, at the lower of cost or market, plus (v) Property NOI of all Material Acquisition Assets of the Borrower Parties and other Consolidated Entities for the twelve months then most recently ended on or prior to such date, divided by the sum of (x) a percentage capitalization rate equal to the Implied Cap Rate for such Material Acquisition Assets plus (y) 1.00%; </w:t>
      </w:r>
      <w:r>
        <w:rPr>
          <w:rFonts w:ascii="Times New Roman" w:hAnsi="Times New Roman"/>
          <w:sz w:val="20"/>
          <w:u w:val="single"/>
        </w:rPr>
        <w:t>provided</w:t>
      </w:r>
      <w:r>
        <w:rPr>
          <w:rFonts w:ascii="Times New Roman" w:hAnsi="Times New Roman"/>
          <w:sz w:val="20"/>
        </w:rPr>
        <w:t xml:space="preserve">, however, that in no event shall the aggregate value attributable to non-controlling Joint Venture assets included in Capitalization Value as of any date of determination exceed 20% of Capitalization Value in the aggregate as of such date. For purposes hereof, the amount of cash and Cash Equivalents (other than Restricted Cash) of any non-Wholly-Owned Subsidiary or Joint Venture of MAC (i) shall be deemed to be an amount equal to the product of (x) the cash and Cash Equivalents (other than Restricted Cash) of such Person, </w:t>
      </w:r>
      <w:r>
        <w:rPr>
          <w:rFonts w:ascii="Times New Roman" w:hAnsi="Times New Roman"/>
          <w:i/>
          <w:sz w:val="20"/>
        </w:rPr>
        <w:t xml:space="preserve">multiplied by </w:t>
      </w:r>
      <w:r>
        <w:rPr>
          <w:rFonts w:ascii="Times New Roman" w:hAnsi="Times New Roman"/>
          <w:sz w:val="20"/>
        </w:rPr>
        <w:t xml:space="preserve">(y) the percentage of the total outstanding common Capital Stock of such Person directly or indirectly owned by MAC, expressed as a decimal (or the percentage of distributable cash to which the applicable MAC controlled Person is entitled), and (ii) shall only be available to increase the Capitalization Value to the extent in excess of that portion of Secured Indebtedness that is attributable to the applicable Macerich Entity in respect of such Person. </w:t>
      </w:r>
    </w:p>
    <w:p>
      <w:pPr>
        <w:pStyle w:val="TextBody"/>
        <w:bidi w:val="0"/>
        <w:spacing w:before="240" w:after="0"/>
        <w:jc w:val="left"/>
        <w:rPr/>
      </w:pPr>
      <w:r>
        <w:rPr/>
        <w:t>“</w:t>
      </w:r>
      <w:r>
        <w:rPr>
          <w:rFonts w:ascii="Times New Roman" w:hAnsi="Times New Roman"/>
          <w:sz w:val="20"/>
          <w:u w:val="single"/>
        </w:rPr>
        <w:t>Capitalization Value (Unencumbered Property)</w:t>
      </w:r>
      <w:r>
        <w:rPr>
          <w:rFonts w:ascii="Times New Roman" w:hAnsi="Times New Roman"/>
          <w:sz w:val="20"/>
        </w:rPr>
        <w:t xml:space="preserve">” shall mean, as of any date of determination, the sum of (without duplication) (i) Property NOI of all Unencumbered Property (other than Real Property Under Construction, Material Acquisition Assets and undeveloped land) for the twelve months then most recently ended on or prior to such date, divided by 8.00%, plus (ii) the aggregate amount of all cash and Cash Equivalents (other than Restricted Cash) of the Borrower Parties and other Consolidated Entities (excluding, for the avoidance of doubt, any tenant security or other restricted deposits owned by others) as of such date, plus (iii) the aggregate value of all Unencumbered Property that constitutes Real Property Under Construction as of such date at cost, plus (iv) the aggregate value of all Unencumbered Property that constitutes undeveloped land as of such date determined in accordance with GAAP, at the lower of cost or market, plus (v) Property NOI of all Unencumbered Property that constitutes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Acquisition Assets of the Borrower Parties and other Consolidated Entities for the twelve months then most recently ended on or prior to such date, divided by the sum of (x) a percentage capitalization rate equal to the Implied Cap Rate for such Material Acquisition Assets plus (y) 1.00%;</w:t>
      </w:r>
      <w:r>
        <w:rPr>
          <w:rFonts w:ascii="Times New Roman" w:hAnsi="Times New Roman"/>
          <w:sz w:val="20"/>
          <w:u w:val="single"/>
        </w:rPr>
        <w:t xml:space="preserve"> provided</w:t>
      </w:r>
      <w:r>
        <w:rPr>
          <w:rFonts w:ascii="Times New Roman" w:hAnsi="Times New Roman"/>
          <w:sz w:val="20"/>
        </w:rPr>
        <w:t xml:space="preserve">, however, that in no event shall the aggregate value attributable to non-controlling Joint Venture assets included in Capitalization Value (Unencumbered Property) as of any date of determination exceed 20% of Capitalization Value (Unencumbered Property) in the aggregate as of such date. For purposes hereof, the amount of cash and Cash Equivalents (other than Restricted Cash) of any non-Wholly-Owned Subsidiary or Joint Venture of MAC (i) shall be deemed to be an amount equal to the product of (x) the cash and Cash Equivalents (other than Restricted Cash) of such Person, </w:t>
      </w:r>
      <w:r>
        <w:rPr>
          <w:rFonts w:ascii="Times New Roman" w:hAnsi="Times New Roman"/>
          <w:i/>
          <w:sz w:val="20"/>
        </w:rPr>
        <w:t xml:space="preserve">multiplied by </w:t>
      </w:r>
      <w:r>
        <w:rPr>
          <w:rFonts w:ascii="Times New Roman" w:hAnsi="Times New Roman"/>
          <w:sz w:val="20"/>
        </w:rPr>
        <w:t xml:space="preserve">(y) the percentage of the total outstanding common Capital Stock of such Person directly or indirectly owned by MAC, expressed as a decimal (or the percentage of distributable cash to which the applicable MAC controlled Person is entitled), and (ii) shall only be available to increase the Capitalization Value (Unencumbered Property) to the extent in excess of that portion of Unsecured Indebtedness that is attributable to the applicable Macerich Entity in respect of such Person. </w:t>
      </w:r>
    </w:p>
    <w:p>
      <w:pPr>
        <w:pStyle w:val="TextBody"/>
        <w:bidi w:val="0"/>
        <w:spacing w:before="240" w:after="0"/>
        <w:jc w:val="left"/>
        <w:rPr/>
      </w:pPr>
      <w:r>
        <w:rPr/>
        <w:t>“</w:t>
      </w:r>
      <w:r>
        <w:rPr>
          <w:rFonts w:ascii="Times New Roman" w:hAnsi="Times New Roman"/>
          <w:sz w:val="20"/>
          <w:u w:val="single"/>
        </w:rPr>
        <w:t>Capitalized Lease</w:t>
      </w:r>
      <w:r>
        <w:rPr>
          <w:rFonts w:ascii="Times New Roman" w:hAnsi="Times New Roman"/>
          <w:sz w:val="20"/>
        </w:rPr>
        <w:t xml:space="preserve">” of a Person shall mean any lease of property by such Person as lessee which would be capitalized on a balance sheet of such Person prepared in accordance with GAAP. </w:t>
      </w:r>
    </w:p>
    <w:p>
      <w:pPr>
        <w:pStyle w:val="TextBody"/>
        <w:bidi w:val="0"/>
        <w:spacing w:before="240" w:after="0"/>
        <w:jc w:val="left"/>
        <w:rPr/>
      </w:pPr>
      <w:r>
        <w:rPr/>
        <w:t>“</w:t>
      </w:r>
      <w:r>
        <w:rPr>
          <w:rFonts w:ascii="Times New Roman" w:hAnsi="Times New Roman"/>
          <w:sz w:val="20"/>
          <w:u w:val="single"/>
        </w:rPr>
        <w:t>Capitalized Lease Obligations</w:t>
      </w:r>
      <w:r>
        <w:rPr>
          <w:rFonts w:ascii="Times New Roman" w:hAnsi="Times New Roman"/>
          <w:sz w:val="20"/>
        </w:rPr>
        <w:t xml:space="preserve">” of a Person shall mean the amount of the obligations of such Person under Capitalized Leases which would be shown as a liability on a balance sheet of such Person prepared in accordance with GAAP. </w:t>
      </w:r>
    </w:p>
    <w:p>
      <w:pPr>
        <w:pStyle w:val="TextBody"/>
        <w:bidi w:val="0"/>
        <w:spacing w:before="240" w:after="0"/>
        <w:jc w:val="left"/>
        <w:rPr/>
      </w:pPr>
      <w:r>
        <w:rPr/>
        <w:t>“</w:t>
      </w:r>
      <w:r>
        <w:rPr>
          <w:rFonts w:ascii="Times New Roman" w:hAnsi="Times New Roman"/>
          <w:sz w:val="20"/>
          <w:u w:val="single"/>
        </w:rPr>
        <w:t>Capitalized Loan Fees</w:t>
      </w:r>
      <w:r>
        <w:rPr>
          <w:rFonts w:ascii="Times New Roman" w:hAnsi="Times New Roman"/>
          <w:sz w:val="20"/>
        </w:rPr>
        <w:t xml:space="preserve">” shall mean, with respect to the Macerich Entities, and with respect to any period, any upfront, closing or similar fees paid by such Person in connection with the incurrence or refinancing of Indebtedness during such period that are capitalized on the balance sheet of such Person.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shall mean (i) with respect to any Person that is a corporation, any and all shares, interests, participations or other equivalents (however designated and whether or not voting) of corporate stock, including, without limitation, each class or series of common stock and preferred stock of such Person and (ii) with respect to any Person that is not a corporation, any and all investment units, partnership, membership or other equity interests of such Person. </w:t>
      </w:r>
      <w:r>
        <w:rPr>
          <w:rFonts w:ascii="Times New Roman" w:hAnsi="Times New Roman"/>
          <w:color w:val="0000FF"/>
          <w:sz w:val="20"/>
          <w:u w:val="single"/>
          <w:bdr w:val="double" w:sz="2" w:space="1" w:color="000000"/>
        </w:rPr>
        <w:t>For the avoidance of doubt, Capital Stock shall not include any Qualified Convertible Indebtedness, Qualified Bond Hedge Transaction or Qualified Warrant Transaction.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Cap Rate Property</w:t>
      </w:r>
      <w:r>
        <w:rPr>
          <w:rFonts w:ascii="Times New Roman" w:hAnsi="Times New Roman"/>
          <w:sz w:val="20"/>
        </w:rPr>
        <w:t xml:space="preserve">” shall mean each 6.0% Cap Rate Property, each 7.0% Cap Rate Property, each 10.0% Cap Rate Property and each Other Cap Rate Property. </w:t>
      </w:r>
    </w:p>
    <w:p>
      <w:pPr>
        <w:pStyle w:val="TextBody"/>
        <w:bidi w:val="0"/>
        <w:spacing w:before="240" w:after="0"/>
        <w:jc w:val="left"/>
        <w:rPr/>
      </w:pPr>
      <w:r>
        <w:rPr/>
        <w:t>“</w:t>
      </w:r>
      <w:r>
        <w:rPr>
          <w:rFonts w:ascii="Times New Roman" w:hAnsi="Times New Roman"/>
          <w:sz w:val="20"/>
          <w:u w:val="single"/>
        </w:rPr>
        <w:t>Cash Collateralize</w:t>
      </w:r>
      <w:r>
        <w:rPr>
          <w:rFonts w:ascii="Times New Roman" w:hAnsi="Times New Roman"/>
          <w:sz w:val="20"/>
        </w:rPr>
        <w:t>” shall mean, to pledge and deposit in the LC Collateral Account, as collateral for the LC Exposure (and Obligations in respect thereof) or obligations of Lenders to fund participations in respect thereof, cash or deposit account balances or, if the Administrative Agent and the applicable Issuing Lender shall agree in their sole discretion, other credit support, in each case pursuant to documentation in form and substance reasonably satisfactory to the Administrative Agent and such Issuing Lender. “</w:t>
      </w:r>
      <w:r>
        <w:rPr>
          <w:rFonts w:ascii="Times New Roman" w:hAnsi="Times New Roman"/>
          <w:sz w:val="20"/>
          <w:u w:val="single"/>
        </w:rPr>
        <w:t>Cash Collateral</w:t>
      </w:r>
      <w:r>
        <w:rPr>
          <w:rFonts w:ascii="Times New Roman" w:hAnsi="Times New Roman"/>
          <w:sz w:val="20"/>
        </w:rPr>
        <w:t xml:space="preserve">” shall have a meaning correlative to the foregoing and shall include the proceeds of such cash collateral and other credit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Cash Equivalents</w:t>
      </w:r>
      <w:r>
        <w:rPr>
          <w:rFonts w:ascii="Times New Roman" w:hAnsi="Times New Roman"/>
          <w:sz w:val="20"/>
        </w:rPr>
        <w:t xml:space="preserve">” shall mean, with respect to any Person: (a) securities issued, guaranteed or insured by the United States of America or any of its agencies with maturities of not more than one year from the date acquired; (b) certificates of deposit with maturities of not more than one year from the date acquired by a United States federal or state chartered commercial bank of recognized standing, which has capital and unimpaired surplus in excess of $500,000,000 and which bank or its holding company has a short-term commercial paper rating of at least A-2 or the equivalent by S&amp;P or at least P-2 or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of Moody’s, in each case with maturities of not more than one year from the date acquired; and (e) investments in money market funds registered under the Investment Company Act of 1940, which have net assets of at least $500,000,000 and at least 85% of whose assets consist of securities and other obligations of the type described in clauses (a) through (d) above. </w:t>
      </w:r>
    </w:p>
    <w:p>
      <w:pPr>
        <w:pStyle w:val="TextBody"/>
        <w:bidi w:val="0"/>
        <w:spacing w:before="240" w:after="0"/>
        <w:jc w:val="left"/>
        <w:rPr/>
      </w:pPr>
      <w:r>
        <w:rPr/>
        <w:t>“</w:t>
      </w:r>
      <w:r>
        <w:rPr>
          <w:rFonts w:ascii="Times New Roman" w:hAnsi="Times New Roman"/>
          <w:sz w:val="20"/>
          <w:u w:val="single"/>
        </w:rPr>
        <w:t>Cash Management Services</w:t>
      </w:r>
      <w:r>
        <w:rPr>
          <w:rFonts w:ascii="Times New Roman" w:hAnsi="Times New Roman"/>
          <w:sz w:val="20"/>
        </w:rPr>
        <w:t xml:space="preserve">” shall mean any one or more of the following types of services or facilities: (a) ACH transactions, (b) treasury and/or cash management services, including, controlled disbursement services, depository, overdraft and electronic funds transfer services, (c) foreign exchange facilities, (d) deposit and other accounts, and (e) merchant services (other than those constituting a line of credit). For the avoidance of doubt, Cash Management Services do not include Hedging Obligations. </w:t>
      </w:r>
    </w:p>
    <w:p>
      <w:pPr>
        <w:pStyle w:val="TextBody"/>
        <w:bidi w:val="0"/>
        <w:spacing w:before="240" w:after="0"/>
        <w:jc w:val="left"/>
        <w:rPr/>
      </w:pPr>
      <w:r>
        <w:rPr/>
        <w:t>“</w:t>
      </w:r>
      <w:r>
        <w:rPr>
          <w:rFonts w:ascii="Times New Roman" w:hAnsi="Times New Roman"/>
          <w:sz w:val="20"/>
          <w:u w:val="single"/>
        </w:rPr>
        <w:t>CERCLIS</w:t>
      </w:r>
      <w:r>
        <w:rPr>
          <w:rFonts w:ascii="Times New Roman" w:hAnsi="Times New Roman"/>
          <w:sz w:val="20"/>
        </w:rPr>
        <w:t xml:space="preserve">” shall have the meaning given such term in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shall mean (a) the adoption of any law, rule or regulation after the Closing Date, (b) any change in any law, rule or regulation or in the interpretation or application thereof by any Governmental Authority after the Closing Date or (c) compliance by any Lender or any Issuing Lender (or by any lending office of such Lender or such Issuing Lender or by such Lender’s or such Issuing Lender’s holding company, if any) with any guideline or directive (whether or not having the force of law) of any Governmental Authority made or issued after the Closing Date; </w:t>
      </w:r>
      <w:r>
        <w:rPr>
          <w:rFonts w:ascii="Times New Roman" w:hAnsi="Times New Roman"/>
          <w:i/>
          <w:sz w:val="20"/>
        </w:rPr>
        <w:t>provided</w:t>
      </w:r>
      <w:r>
        <w:rPr>
          <w:rFonts w:ascii="Times New Roman" w:hAnsi="Times New Roman"/>
          <w:sz w:val="20"/>
        </w:rPr>
        <w:t xml:space="preserve">, however, that (i) no Change in Law shall be deemed to have occurred with respect to any Assignee or Participant until after the date on which such Assignee or Participant acquired its interest as an Assignee or Participant under this Agreement and (ii) clause (i) of this proviso shall not apply to any Change in Law with respect to (x) any Assignee to the extent such Change in Law was applicable to the assignor Lender on the effective date of the Assignment and Acceptance Agreement pursuant to which such assignee became a Lender or (y) any Participant to the extent such Change in Law was applicable to the Originating Lender on the effective date of the agreement pursuant to which such Participant became a Participant; provided, further, however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in respect of this clause (ii) pursuant to Basel III, shall, in each case, be deemed to be a “Change in Law”, regardless of the date enacted, adopted or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of Control</w:t>
      </w:r>
      <w:r>
        <w:rPr>
          <w:rFonts w:ascii="Times New Roman" w:hAnsi="Times New Roman"/>
          <w:sz w:val="20"/>
        </w:rPr>
        <w:t xml:space="preserve">” shall mean occurrence of any of the following: (i) the acquisition of ownership, directly or indirectly, beneficially or of record, by any “person” or “group” (within the meaning of the Securities Exchange Act of 1934 and the rules of the Securities and Exchange Commission thereunder as in effect on the date hereof) of Capital Stock representing more than 35% of the aggregate ordinary voting power represented by the issued and outstanding Capital Stock of MAC or (ii) during any period of 12 consecutive months, individuals who at the beginning of such period constituted the Board of Directors of MAC (together with any new or replacement directors whose election by the Board of Directors, or whose nomination for election, was approved by a vote of at least a majority of the directors then still in office who were either directors at the beginning of such period or whose election or nomination for reelection was previously so approved) cease for any reason to constitute a majority of the directors then in office, unless otherwise approved in advance in writing by the Required Lenders. </w:t>
      </w:r>
    </w:p>
    <w:p>
      <w:pPr>
        <w:pStyle w:val="TextBody"/>
        <w:bidi w:val="0"/>
        <w:spacing w:before="240" w:after="0"/>
        <w:jc w:val="left"/>
        <w:rPr/>
      </w:pPr>
      <w:r>
        <w:rPr/>
        <w:t>“</w:t>
      </w:r>
      <w:r>
        <w:rPr>
          <w:rFonts w:ascii="Times New Roman" w:hAnsi="Times New Roman"/>
          <w:sz w:val="20"/>
          <w:u w:val="single"/>
        </w:rPr>
        <w:t>Closing Certificate</w:t>
      </w:r>
      <w:r>
        <w:rPr>
          <w:rFonts w:ascii="Times New Roman" w:hAnsi="Times New Roman"/>
          <w:sz w:val="20"/>
        </w:rPr>
        <w:t xml:space="preserve">” shall mean a certificate substantially in the form of </w:t>
      </w:r>
      <w:r>
        <w:rPr>
          <w:rFonts w:ascii="Times New Roman" w:hAnsi="Times New Roman"/>
          <w:sz w:val="20"/>
          <w:u w:val="single"/>
        </w:rPr>
        <w:t>Exhibit 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shall mean the date as of which all conditions set forth in</w:t>
      </w:r>
      <w:r>
        <w:rPr>
          <w:rFonts w:ascii="Times New Roman" w:hAnsi="Times New Roman"/>
          <w:sz w:val="20"/>
          <w:u w:val="single"/>
        </w:rPr>
        <w:t xml:space="preserve"> Section 5.1</w:t>
      </w:r>
      <w:r>
        <w:rPr>
          <w:rFonts w:ascii="Times New Roman" w:hAnsi="Times New Roman"/>
          <w:sz w:val="20"/>
        </w:rPr>
        <w:t xml:space="preserve"> shall have been satisfied or waived. </w:t>
      </w:r>
    </w:p>
    <w:p>
      <w:pPr>
        <w:pStyle w:val="TextBody"/>
        <w:bidi w:val="0"/>
        <w:spacing w:before="240" w:after="0"/>
        <w:jc w:val="left"/>
        <w:rPr/>
      </w:pPr>
      <w:r>
        <w:rPr/>
        <w:t>“</w:t>
      </w:r>
      <w:r>
        <w:rPr>
          <w:rFonts w:ascii="Times New Roman" w:hAnsi="Times New Roman"/>
          <w:sz w:val="20"/>
          <w:u w:val="single"/>
        </w:rPr>
        <w:t>Closing Date Payments</w:t>
      </w:r>
      <w:r>
        <w:rPr>
          <w:rFonts w:ascii="Times New Roman" w:hAnsi="Times New Roman"/>
          <w:sz w:val="20"/>
        </w:rPr>
        <w:t xml:space="preserve">” shall mean the payment in full, on the Closing Date, of all (a) Revolving Loans (as defined in the First Amended and Restated Credit Agreement) outstanding under the First Amended and Restated Credit Agreement as of the Closing Date, together with all accrued interest thereon, (b) accrued Unused Line Fees (as defined in the First Amended and Restated Credit Agreement) under the First Amended and Restated Credit Agreement as of the Closing Date and (c) accrued fees (including Letter of Credit Fees (as defined in the First Amended and Restated Credit Agreement)) and other amounts payable in respect of all “Letters of Credit” (as defined in the First Amended and Restated Credit Agreement) under the First Amended and Restated Credit Agreement as of the Closing Date.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Internal Revenue Code of 1986, as amended, and the rules and regulations promulgated thereunder, as from time to time in effect.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shall mean all Property of the Borrower Parties, now owned or hereafter acquired, upon which a Lien is purported to be created by any Security Document.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shall have the meaning given such term in the introductory paragraph of this Agreement. </w:t>
      </w:r>
    </w:p>
    <w:p>
      <w:pPr>
        <w:pStyle w:val="TextBody"/>
        <w:bidi w:val="0"/>
        <w:spacing w:before="240" w:after="0"/>
        <w:jc w:val="left"/>
        <w:rPr/>
      </w:pPr>
      <w:r>
        <w:rPr/>
        <w:t>“</w:t>
      </w:r>
      <w:r>
        <w:rPr>
          <w:rFonts w:ascii="Times New Roman" w:hAnsi="Times New Roman"/>
          <w:sz w:val="20"/>
          <w:u w:val="single"/>
        </w:rPr>
        <w:t>Commencement of Construction</w:t>
      </w:r>
      <w:r>
        <w:rPr>
          <w:rFonts w:ascii="Times New Roman" w:hAnsi="Times New Roman"/>
          <w:sz w:val="20"/>
        </w:rPr>
        <w:t xml:space="preserve">” shall mean with respect to any Real Property, the commencement of material on-site work (including grading) or the commencement of a work of improvement of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Commitment</w:t>
      </w:r>
      <w:r>
        <w:rPr>
          <w:rFonts w:ascii="Times New Roman" w:hAnsi="Times New Roman"/>
          <w:sz w:val="20"/>
        </w:rPr>
        <w:t xml:space="preserve">” shall mean Revolving Commitment.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shall mean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shall have the meaning given such term in </w:t>
      </w:r>
      <w:r>
        <w:rPr>
          <w:rFonts w:ascii="Times New Roman" w:hAnsi="Times New Roman"/>
          <w:sz w:val="20"/>
          <w:u w:val="single"/>
        </w:rPr>
        <w:t>Section 11.6(4)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shall mean a certificate substantially in the form of </w:t>
      </w:r>
      <w:r>
        <w:rPr>
          <w:rFonts w:ascii="Times New Roman" w:hAnsi="Times New Roman"/>
          <w:sz w:val="20"/>
          <w:u w:val="single"/>
        </w:rPr>
        <w:t>Exhibit 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Conditional Approval Notice</w:t>
      </w:r>
      <w:r>
        <w:rPr>
          <w:rFonts w:ascii="Times New Roman" w:hAnsi="Times New Roman"/>
          <w:sz w:val="20"/>
        </w:rPr>
        <w:t xml:space="preserve">” shall have the meaning given such term in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shall mean, with respect to either the use or administration of Term SOFR or the use, administration, adoption or implementation of any Alternate Index Rate, any technical, administrative or operational changes (including, without limitation, changes to the definitions of “Business Day”, “Interest Determination Date”, “Interest Period” and “U.S. Government Securities Business Day”, preceding and succeeding business day conventions, rounding of amounts, the timing and frequency of determining rates and making payments of interest, the applicability and length of lookback periods, the applicability of breakage provisions, and other technical, administrative or operational matters) that the Administrative Agent determines, in consultation with the Borrower, from time to time, may be appropriate to reflect the adoption and implementation of any such rate or to permit the use and administration thereof by the Administrative Agent in a manner substantially consistent with market practice (or, if the Administrative Agent determines that adoption of any portion of such market practice is not administratively feasible or if the Administrative Agent or its designee determines that no market practice for the use and administration of such rate exists, in such other manner as the Administrative Agent determines is reasonably necessary). </w:t>
      </w:r>
    </w:p>
    <w:p>
      <w:pPr>
        <w:pStyle w:val="TextBody"/>
        <w:bidi w:val="0"/>
        <w:spacing w:before="240" w:after="0"/>
        <w:jc w:val="left"/>
        <w:rPr/>
      </w:pPr>
      <w:r>
        <w:rPr/>
        <w:t>“</w:t>
      </w:r>
      <w:r>
        <w:rPr>
          <w:rFonts w:ascii="Times New Roman" w:hAnsi="Times New Roman"/>
          <w:sz w:val="20"/>
          <w:u w:val="single"/>
        </w:rPr>
        <w:t>Consolidated Entities</w:t>
      </w:r>
      <w:r>
        <w:rPr>
          <w:rFonts w:ascii="Times New Roman" w:hAnsi="Times New Roman"/>
          <w:sz w:val="20"/>
        </w:rPr>
        <w:t xml:space="preserve">” shall mean, collectively, (i) the Borrower Parties, (ii) all other Subsidiaries of MAC and (iii) any other Person the accounts of which are consolidated with those of MAC in the consolidated financial statements of MAC in accordance with GAAP. </w:t>
      </w:r>
    </w:p>
    <w:p>
      <w:pPr>
        <w:pStyle w:val="TextBody"/>
        <w:bidi w:val="0"/>
        <w:spacing w:before="240" w:after="0"/>
        <w:jc w:val="left"/>
        <w:rPr/>
      </w:pPr>
      <w:r>
        <w:rPr/>
        <w:t>“</w:t>
      </w:r>
      <w:r>
        <w:rPr>
          <w:rFonts w:ascii="Times New Roman" w:hAnsi="Times New Roman"/>
          <w:sz w:val="20"/>
          <w:u w:val="single"/>
        </w:rPr>
        <w:t>Consolidated Total Assets</w:t>
      </w:r>
      <w:r>
        <w:rPr>
          <w:rFonts w:ascii="Times New Roman" w:hAnsi="Times New Roman"/>
          <w:sz w:val="20"/>
        </w:rPr>
        <w:t>” shall mean, as of any date of determination, the total property and assets of the Consolidated Entities, determined in accordance with GAAP, as set forth on the consolidated balance sheet of the Consolidated Entities most recently delivered (or required to be delivered) pursuant to</w:t>
      </w:r>
      <w:r>
        <w:rPr>
          <w:rFonts w:ascii="Times New Roman" w:hAnsi="Times New Roman"/>
          <w:sz w:val="20"/>
          <w:u w:val="single"/>
        </w:rPr>
        <w:t xml:space="preserve"> Section 7.1(1)</w:t>
      </w:r>
      <w:r>
        <w:rPr>
          <w:rFonts w:ascii="Times New Roman" w:hAnsi="Times New Roman"/>
          <w:sz w:val="20"/>
        </w:rPr>
        <w:t xml:space="preserve"> or</w:t>
      </w:r>
      <w:r>
        <w:rPr>
          <w:rFonts w:ascii="Times New Roman" w:hAnsi="Times New Roman"/>
          <w:sz w:val="20"/>
          <w:u w:val="single"/>
        </w:rPr>
        <w:t xml:space="preserve"> (2)</w:t>
      </w:r>
      <w:r>
        <w:rPr>
          <w:rFonts w:ascii="Times New Roman" w:hAnsi="Times New Roman"/>
          <w:sz w:val="20"/>
        </w:rPr>
        <w:t xml:space="preserve">, as applicable (on a pro forma basis after giving effect to any Investments or Dispositions permitted hereunder or by the other Loan Documents made after the date of such balance sheet and on or prior to such date of determination). </w:t>
      </w:r>
    </w:p>
    <w:p>
      <w:pPr>
        <w:pStyle w:val="TextBody"/>
        <w:bidi w:val="0"/>
        <w:spacing w:before="240" w:after="0"/>
        <w:jc w:val="left"/>
        <w:rPr/>
      </w:pPr>
      <w:r>
        <w:rPr/>
        <w:t>“</w:t>
      </w:r>
      <w:r>
        <w:rPr>
          <w:rFonts w:ascii="Times New Roman" w:hAnsi="Times New Roman"/>
          <w:sz w:val="20"/>
          <w:u w:val="single"/>
        </w:rPr>
        <w:t>Construction-in-Process</w:t>
      </w:r>
      <w:r>
        <w:rPr>
          <w:rFonts w:ascii="Times New Roman" w:hAnsi="Times New Roman"/>
          <w:sz w:val="20"/>
        </w:rPr>
        <w:t xml:space="preserve">” shall mean, with respect to any Real Property Under Construction, the aggregate amount of expenditures classified as “construction-in-process” on the balance sheet of the Consolidated Entities, with respect thereto. </w:t>
      </w:r>
    </w:p>
    <w:p>
      <w:pPr>
        <w:pStyle w:val="TextBody"/>
        <w:bidi w:val="0"/>
        <w:spacing w:before="240" w:after="0"/>
        <w:jc w:val="left"/>
        <w:rPr/>
      </w:pPr>
      <w:r>
        <w:rPr/>
        <w:t>“</w:t>
      </w:r>
      <w:r>
        <w:rPr>
          <w:rFonts w:ascii="Times New Roman" w:hAnsi="Times New Roman"/>
          <w:sz w:val="20"/>
          <w:u w:val="single"/>
        </w:rPr>
        <w:t>Contact Office</w:t>
      </w:r>
      <w:r>
        <w:rPr>
          <w:rFonts w:ascii="Times New Roman" w:hAnsi="Times New Roman"/>
          <w:sz w:val="20"/>
        </w:rPr>
        <w:t xml:space="preserve">” shall mean the office of the Administrative Agent identified on </w:t>
      </w:r>
      <w:r>
        <w:rPr>
          <w:rFonts w:ascii="Times New Roman" w:hAnsi="Times New Roman"/>
          <w:sz w:val="20"/>
          <w:u w:val="single"/>
        </w:rPr>
        <w:t>Schedule 11.6</w:t>
      </w:r>
      <w:r>
        <w:rPr>
          <w:rFonts w:ascii="Times New Roman" w:hAnsi="Times New Roman"/>
          <w:sz w:val="20"/>
        </w:rPr>
        <w:t xml:space="preserve"> attached hereto, or such other offices in the United States as the Administrative Agent may notify the Borrower, the Lenders and the Issuing Lenders from time to time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Contingent Obligation</w:t>
      </w:r>
      <w:r>
        <w:rPr>
          <w:rFonts w:ascii="Times New Roman" w:hAnsi="Times New Roman"/>
          <w:sz w:val="20"/>
        </w:rPr>
        <w:t xml:space="preserve">” as to any Person shall mean, without duplication, (i) any contingent obligation of such Person required to be shown on such Person’s balance sheet in accordance with GAAP, and (ii) any obligation required to be disclosed in the footnotes to such Person’s financial statements in accordance with GAAP, guaranteeing partially or in whole any non-recourse Indebtedness, lease, dividend or other obligation, exclusive of contractual indemnities (including, without limitation, any indemnity or price-adjustment provision relating to the purchase or sale of securities or other assets), of such Person or of any other Person. The amount of any Contingent Obligation described in clause (ii) above shall be deemed to be (a) with respect to a guaranty of interest or interest and principal, or operating income guaranty, the sum of all payments required to be made thereunder (which in the case of an operating income guaranty shall be deemed to be equal to the debt service for the note secured thereby), calculated at the interest rate applicable to such Indebtedness, through (1) in the case of an interest or interest and principal guaranty, the stated date of maturity of the obligation (and commencing on the date interest could first be payable thereunder), or (2) in the case of an operating income guaranty, the date through which such guaranty will remain in effect, and (b) with respect to all guarantees not covered by the preceding clause (a) an amount equal to the stated or determinable amount of the primary obligation in respect of which such guaranty is made or, if not stated or determinable, the maximum reasonably anticipated liability in respect thereof (assuming such Person is required to perform thereunder) as recorded on the balance sheet and on the footnotes to the most recent financial statements of the applicable Person required to be delivered pursuant hereto. Notwithstanding anything contained herein to the contrary, (x) Permitted Guaranties shall not be deemed to be Contingent Obligations unless and until a claim for payment has been made thereunder, at which time any such Permitted Guaranty shall be deemed to be a Contingent Obligation in an amount equal to any such claim and (y) Contingent Obligations of a Borrower Party which is attributable to a non-Wholly-Owned Subsidiary or a Joint Venture will be equal to the amount that such Borrower Party may be liable for pursuant to the relevant guaranty or other applicable agreement (without taking into account any offset by any partner’s contribution or indemnification obligations with respect thereto other than those offsets for contribution and indemnification obligations with the partners identified on </w:t>
      </w:r>
      <w:r>
        <w:rPr>
          <w:rFonts w:ascii="Times New Roman" w:hAnsi="Times New Roman"/>
          <w:sz w:val="20"/>
          <w:u w:val="single"/>
        </w:rPr>
        <w:t>Schedule 8.21</w:t>
      </w:r>
      <w:r>
        <w:rPr>
          <w:rFonts w:ascii="Times New Roman" w:hAnsi="Times New Roman"/>
          <w:sz w:val="20"/>
        </w:rPr>
        <w:t xml:space="preserve">). Subject to the preceding sentence, (i) in the case of a joint and several guaranty given by such Person and another Person (but only to the extent such guaranty is recourse, directly or indirectly to the applicable Borrower Party or their respective Subsidiaries), the amount of the guaranty shall be deemed to be 100% thereof unless and only to the extent that (X) such other Person has delivered a letter of credit, cash or Cash Equivalents to secure all or any part of such Person’s guaranteed obligations or (Y) such other Person holds an investment grade credit rating from either Moody’s or S&amp;P, and (ii) in the case of a guaranty (whether or not joint and several) of an obligation otherwise constituting Indebtedness of such Person, the amount of such guaranty shall be deemed to be only that amount in excess of the amount of the obligation constituting Indebtedness of such Person. </w:t>
      </w:r>
    </w:p>
    <w:p>
      <w:pPr>
        <w:pStyle w:val="TextBody"/>
        <w:bidi w:val="0"/>
        <w:spacing w:before="240" w:after="0"/>
        <w:jc w:val="left"/>
        <w:rPr/>
      </w:pPr>
      <w:r>
        <w:rPr/>
        <w:t>“</w:t>
      </w:r>
      <w:r>
        <w:rPr>
          <w:rFonts w:ascii="Times New Roman" w:hAnsi="Times New Roman"/>
          <w:sz w:val="20"/>
          <w:u w:val="single"/>
        </w:rPr>
        <w:t>Contractual Encumbrance</w:t>
      </w:r>
      <w:r>
        <w:rPr>
          <w:rFonts w:ascii="Times New Roman" w:hAnsi="Times New Roman"/>
          <w:sz w:val="20"/>
        </w:rPr>
        <w:t xml:space="preserve">” has the meaning given to it in the definition of Permitted Encumbrances. </w:t>
      </w:r>
    </w:p>
    <w:p>
      <w:pPr>
        <w:pStyle w:val="TextBody"/>
        <w:bidi w:val="0"/>
        <w:spacing w:before="240" w:after="0"/>
        <w:jc w:val="left"/>
        <w:rPr/>
      </w:pPr>
      <w:r>
        <w:rPr/>
        <w:t>“</w:t>
      </w:r>
      <w:r>
        <w:rPr>
          <w:rFonts w:ascii="Times New Roman" w:hAnsi="Times New Roman"/>
          <w:sz w:val="20"/>
          <w:u w:val="single"/>
        </w:rPr>
        <w:t>Contractual Obligation</w:t>
      </w:r>
      <w:r>
        <w:rPr>
          <w:rFonts w:ascii="Times New Roman" w:hAnsi="Times New Roman"/>
          <w:sz w:val="20"/>
        </w:rPr>
        <w:t xml:space="preserve">” as to any Person shall mean any provision of any security issued by such Person or of any agreement, instrument or undertaking to which such Person is a party or by which it or any of its property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Controlled Account</w:t>
      </w:r>
      <w:r>
        <w:rPr>
          <w:rFonts w:ascii="Times New Roman" w:hAnsi="Times New Roman"/>
          <w:sz w:val="20"/>
        </w:rPr>
        <w:t>” shall have the meaning given such term in</w:t>
      </w:r>
      <w:r>
        <w:rPr>
          <w:rFonts w:ascii="Times New Roman" w:hAnsi="Times New Roman"/>
          <w:sz w:val="20"/>
          <w:u w:val="single"/>
        </w:rPr>
        <w:t xml:space="preserve"> Section 7.20(1)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Co-Documentation Agents</w:t>
      </w:r>
      <w:r>
        <w:rPr>
          <w:rFonts w:ascii="Times New Roman" w:hAnsi="Times New Roman"/>
          <w:sz w:val="20"/>
        </w:rPr>
        <w:t xml:space="preserve">” shall mean Goldman Sachs Bank USA, BMO Bank N.A, TD Securities (USA) LLC and Morgan Stanley Senior Funding, Inc., in their respective capacities as the co-documentation agents for the credit facility evidenced by this Agreement, together with their respective permitted successors and assigns. </w:t>
      </w:r>
    </w:p>
    <w:p>
      <w:pPr>
        <w:pStyle w:val="TextBody"/>
        <w:bidi w:val="0"/>
        <w:spacing w:before="240" w:after="0"/>
        <w:jc w:val="left"/>
        <w:rPr/>
      </w:pPr>
      <w:r>
        <w:rPr/>
        <w:t>“</w:t>
      </w:r>
      <w:r>
        <w:rPr>
          <w:rFonts w:ascii="Times New Roman" w:hAnsi="Times New Roman"/>
          <w:sz w:val="20"/>
          <w:u w:val="single"/>
        </w:rPr>
        <w:t>Co-Syndication Agents</w:t>
      </w:r>
      <w:r>
        <w:rPr>
          <w:rFonts w:ascii="Times New Roman" w:hAnsi="Times New Roman"/>
          <w:sz w:val="20"/>
        </w:rPr>
        <w:t xml:space="preserve">” shall mean Deutsche Bank Securities Inc. and JPMorgan Chase Bank, N.A., in their respective capacities as co-syndication agents for the credit facility evidenced by this Agreement, together with their respective permitted successors and assigns. </w:t>
      </w:r>
    </w:p>
    <w:p>
      <w:pPr>
        <w:pStyle w:val="TextBody"/>
        <w:bidi w:val="0"/>
        <w:spacing w:before="240" w:after="0"/>
        <w:jc w:val="left"/>
        <w:rPr/>
      </w:pPr>
      <w:r>
        <w:rPr/>
        <w:t>“</w:t>
      </w:r>
      <w:r>
        <w:rPr>
          <w:rFonts w:ascii="Times New Roman" w:hAnsi="Times New Roman"/>
          <w:sz w:val="20"/>
          <w:u w:val="single"/>
        </w:rPr>
        <w:t>Credit Exposure</w:t>
      </w:r>
      <w:r>
        <w:rPr>
          <w:rFonts w:ascii="Times New Roman" w:hAnsi="Times New Roman"/>
          <w:sz w:val="20"/>
        </w:rPr>
        <w:t xml:space="preserve">” shall mean, with respect to any Lender at any time, such Lender’s Revolving Credit Exposure.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hAnsi="Times New Roman"/>
          <w:sz w:val="20"/>
          <w:u w:val="single"/>
        </w:rPr>
        <w:t>provided</w:t>
      </w:r>
      <w:r>
        <w:rPr>
          <w:rFonts w:ascii="Times New Roman" w:hAnsi="Times New Roman"/>
          <w:sz w:val="20"/>
        </w:rPr>
        <w:t xml:space="preserve">, that if the Administrative Agent decides that any such convention is not administratively feasible for the Administrative Agent, then the Administrative Agent may establish another convention in its reasonable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Administrative Agent determines that Daily Simple SOFR is not administratively feasible for the Administrative Agent (after giving effect to the immediately preceding proviso), then Daily Simple SOFR will be deemed unable to be determined for purposes of the definition of “Benchmark Replacement”. </w:t>
      </w:r>
    </w:p>
    <w:p>
      <w:pPr>
        <w:pStyle w:val="TextBody"/>
        <w:bidi w:val="0"/>
        <w:spacing w:before="240" w:after="0"/>
        <w:jc w:val="left"/>
        <w:rPr/>
      </w:pPr>
      <w:r>
        <w:rPr/>
        <w:t>“</w:t>
      </w:r>
      <w:r>
        <w:rPr>
          <w:rFonts w:ascii="Times New Roman" w:hAnsi="Times New Roman"/>
          <w:sz w:val="20"/>
          <w:u w:val="single"/>
        </w:rPr>
        <w:t>DBNY</w:t>
      </w:r>
      <w:r>
        <w:rPr>
          <w:rFonts w:ascii="Times New Roman" w:hAnsi="Times New Roman"/>
          <w:sz w:val="20"/>
        </w:rPr>
        <w:t xml:space="preserve">” shall have the meaning given such term in the preamble to this Agreement. </w:t>
      </w:r>
    </w:p>
    <w:p>
      <w:pPr>
        <w:pStyle w:val="TextBody"/>
        <w:bidi w:val="0"/>
        <w:spacing w:before="240" w:after="0"/>
        <w:jc w:val="left"/>
        <w:rPr/>
      </w:pPr>
      <w:r>
        <w:rPr/>
        <w:t>“</w:t>
      </w:r>
      <w:r>
        <w:rPr>
          <w:rFonts w:ascii="Times New Roman" w:hAnsi="Times New Roman"/>
          <w:sz w:val="20"/>
          <w:u w:val="single"/>
        </w:rPr>
        <w:t>Debt Service</w:t>
      </w:r>
      <w:r>
        <w:rPr>
          <w:rFonts w:ascii="Times New Roman" w:hAnsi="Times New Roman"/>
          <w:sz w:val="20"/>
        </w:rPr>
        <w:t xml:space="preserve">” shall mean, with respect to any Person for any period, the sum (without duplication) of scheduled payments made during such period on account of principal of Indebtedness (other than balloon payments of principal due upon the stated maturity of any such Indebtedness or similar principal payment which repays or discharges such Indebtedness in full or, to the extent not pursuant to an amortization schedule which requires two or more periodic payments of principal, an amount equal to at least 80% of the initial aggregate principal amount of such Indebtedness, and mandatory reductions of principal associated with any loan modifications, loan extensions or exercise of rights thereunder which are contingent on ratios that would not otherwise be satisfied but for the repayment of principal). For purposes hereof, the amount of Debt Service of any non-Wholly-Owned Subsidiaries or Joint Ventures of MAC shall be deemed to be an amount equal to the product of (x) the Debt Service of such Person, multiplied by (y) the percentage of the total outstanding common Capital Stock of such Person directly or indirectly owned by MAC, expressed as a decimal (or the percentage of distributable cash to which the applicable MAC controlled Person is entitled). </w:t>
      </w:r>
    </w:p>
    <w:p>
      <w:pPr>
        <w:pStyle w:val="TextBody"/>
        <w:bidi w:val="0"/>
        <w:spacing w:before="240" w:after="0"/>
        <w:jc w:val="left"/>
        <w:rPr/>
      </w:pPr>
      <w:r>
        <w:rPr/>
        <w:t>“</w:t>
      </w:r>
      <w:r>
        <w:rPr>
          <w:rFonts w:ascii="Times New Roman" w:hAnsi="Times New Roman"/>
          <w:sz w:val="20"/>
          <w:u w:val="single"/>
        </w:rPr>
        <w:t>Debt Yield</w:t>
      </w:r>
      <w:r>
        <w:rPr>
          <w:rFonts w:ascii="Times New Roman" w:hAnsi="Times New Roman"/>
          <w:sz w:val="20"/>
        </w:rPr>
        <w:t xml:space="preserve">” shall mean, as of the date such calculation is made, the ratio, expressed as a percentage, of (a) the aggregate Property NOI with respect to all Retail/Other Properties of the Macerich Entities for the four Fiscal Quarter period then most recently ended, to (b) an amount equal to (A) the aggregate principal amount of all Total Liabilities in respect of Borrowed Indebtedness minus (B) the aggregate amount of cash and Cash Equivalents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Restricted Cash) and cash collateralized letters of credit of the Macerich Entities. For purposes hereof, the amount of cash and Cash Equivalents (other than Restricted Cash) and cash collateralized letters of credit of any non-Wholly-Owned Subsidiary or Joint Venture of MAC (i) shall be deemed to be an amount equal to the product of (x) the cash and Cash Equivalents (other than Restricted Cash) and cash collateralized letters of credit of such Person, multiplied by (y) the percentage of the total outstanding common Capital Stock of such Person directly or indirectly owned by MAC, expressed as a decimal (or the percentage of distributable cash to which the applicable MAC controlled Person is entitled), and (ii) shall only be available to reduce that portion of the Total Liabilities in respect of Borrowed Indebtedness that is attributable to the applicable Macerich Entity in respect of such Person.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shall mean, subject to</w:t>
      </w:r>
      <w:r>
        <w:rPr>
          <w:rFonts w:ascii="Times New Roman" w:hAnsi="Times New Roman"/>
          <w:sz w:val="20"/>
          <w:u w:val="single"/>
        </w:rPr>
        <w:t xml:space="preserve"> Section 1.12(2)</w:t>
      </w:r>
      <w:r>
        <w:rPr>
          <w:rFonts w:ascii="Times New Roman" w:hAnsi="Times New Roman"/>
          <w:sz w:val="20"/>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or any other Lender any other amount required to be paid by it hereunder (including in respect of its participation in Letters of Credit) within two Business Days of the date when due, (b) has notified the Borrower, the Administrative Agent or any Issuing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the Bankruptcy Code, any other liquidation, conservatorship, bankruptcy, assignment for the benefit of creditors, moratorium, rearrangement, receivership, insolvency, reorganization, or similar debtor relief laws of the United States or other applicable jurisdictions from time to time in effect,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one or more of clauses (a) through (d) above shall be conclusive and binding absent manifest error, and such Lender shall be deemed to be a Defaulting Lender (subject to</w:t>
      </w:r>
      <w:r>
        <w:rPr>
          <w:rFonts w:ascii="Times New Roman" w:hAnsi="Times New Roman"/>
          <w:sz w:val="20"/>
          <w:u w:val="single"/>
        </w:rPr>
        <w:t xml:space="preserve"> Section 1.12(2)</w:t>
      </w:r>
      <w:r>
        <w:rPr>
          <w:rFonts w:ascii="Times New Roman" w:hAnsi="Times New Roman"/>
          <w:sz w:val="20"/>
        </w:rPr>
        <w:t xml:space="preserve">) upon delivery of written notice of such determination to the Borrower, each Issuing Lender and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 Minimis Subsidiary</w:t>
      </w:r>
      <w:r>
        <w:rPr>
          <w:rFonts w:ascii="Times New Roman" w:hAnsi="Times New Roman"/>
          <w:sz w:val="20"/>
        </w:rPr>
        <w:t xml:space="preserve">” shall mean any Subsidiary or Subsidiaries which in the aggregate represents less than one percent of Consolidated Total Assets. </w:t>
      </w:r>
    </w:p>
    <w:p>
      <w:pPr>
        <w:pStyle w:val="TextBody"/>
        <w:bidi w:val="0"/>
        <w:spacing w:before="240" w:after="0"/>
        <w:jc w:val="left"/>
        <w:rPr/>
      </w:pPr>
      <w:r>
        <w:rPr/>
        <w:t>“</w:t>
      </w:r>
      <w:r>
        <w:rPr>
          <w:rFonts w:ascii="Times New Roman" w:hAnsi="Times New Roman"/>
          <w:sz w:val="20"/>
          <w:u w:val="single"/>
        </w:rPr>
        <w:t>Depreciation and Amortization Expense</w:t>
      </w:r>
      <w:r>
        <w:rPr>
          <w:rFonts w:ascii="Times New Roman" w:hAnsi="Times New Roman"/>
          <w:sz w:val="20"/>
        </w:rPr>
        <w:t xml:space="preserve">” shall mean (without duplication), for any period, the sum for such period of (i) total depreciation and amortization expense, whether paid or accrued, of the Consolidated Entities, </w:t>
      </w:r>
      <w:r>
        <w:rPr>
          <w:rFonts w:ascii="Times New Roman" w:hAnsi="Times New Roman"/>
          <w:i/>
          <w:sz w:val="20"/>
        </w:rPr>
        <w:t xml:space="preserve">plus </w:t>
      </w:r>
      <w:r>
        <w:rPr>
          <w:rFonts w:ascii="Times New Roman" w:hAnsi="Times New Roman"/>
          <w:sz w:val="20"/>
        </w:rPr>
        <w:t xml:space="preserve">(ii) any Consolidated Entity’s </w:t>
      </w:r>
      <w:r>
        <w:rPr>
          <w:rFonts w:ascii="Times New Roman" w:hAnsi="Times New Roman"/>
          <w:i/>
          <w:sz w:val="20"/>
        </w:rPr>
        <w:t xml:space="preserve">pro rata </w:t>
      </w:r>
      <w:r>
        <w:rPr>
          <w:rFonts w:ascii="Times New Roman" w:hAnsi="Times New Roman"/>
          <w:sz w:val="20"/>
        </w:rPr>
        <w:t xml:space="preserve">share of depreciation and amortization expenses of Joint Ventures. For purposes of this definition, MAC’s </w:t>
      </w:r>
      <w:r>
        <w:rPr>
          <w:rFonts w:ascii="Times New Roman" w:hAnsi="Times New Roman"/>
          <w:i/>
          <w:sz w:val="20"/>
        </w:rPr>
        <w:t xml:space="preserve">pro rata </w:t>
      </w:r>
      <w:r>
        <w:rPr>
          <w:rFonts w:ascii="Times New Roman" w:hAnsi="Times New Roman"/>
          <w:sz w:val="20"/>
        </w:rPr>
        <w:t xml:space="preserve">share of depreciation and amortization expense of any Joint Venture shall be deemed equal to the product of (i) the depreciation and amortization expense of such Joint Venture, </w:t>
      </w:r>
      <w:r>
        <w:rPr>
          <w:rFonts w:ascii="Times New Roman" w:hAnsi="Times New Roman"/>
          <w:i/>
          <w:sz w:val="20"/>
        </w:rPr>
        <w:t xml:space="preserve">multiplied by </w:t>
      </w:r>
      <w:r>
        <w:rPr>
          <w:rFonts w:ascii="Times New Roman" w:hAnsi="Times New Roman"/>
          <w:sz w:val="20"/>
        </w:rPr>
        <w:t xml:space="preserve">(ii) the percentage of the total outstanding Capital Stock of such Person held by any Consolidated Entity, expressed as a decimal (or the percentage of distributable cash to which the applicable MAC controlled Person is entitled). </w:t>
      </w:r>
    </w:p>
    <w:p>
      <w:pPr>
        <w:pStyle w:val="TextBody"/>
        <w:bidi w:val="0"/>
        <w:spacing w:before="240" w:after="0"/>
        <w:jc w:val="left"/>
        <w:rPr/>
      </w:pPr>
      <w:r>
        <w:rPr/>
        <w:t>“</w:t>
      </w:r>
      <w:r>
        <w:rPr>
          <w:rFonts w:ascii="Times New Roman" w:hAnsi="Times New Roman"/>
          <w:sz w:val="20"/>
          <w:u w:val="single"/>
        </w:rPr>
        <w:t>Designated Jurisdiction</w:t>
      </w:r>
      <w:r>
        <w:rPr>
          <w:rFonts w:ascii="Times New Roman" w:hAnsi="Times New Roman"/>
          <w:sz w:val="20"/>
        </w:rPr>
        <w:t xml:space="preserve">” shall mean any country, region or territory to the extent that such country, region or territory itself is the subject of any Sanction.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xml:space="preserve">” shall mean the sale, lease, sale and leaseback, assignment, conveyance, transfer or other disposition, whether voluntary or involuntary, direct or indirect, of any legal or beneficial interest in any Property and shall include any issuance of Capital Stock; </w:t>
      </w:r>
      <w:r>
        <w:rPr>
          <w:rFonts w:ascii="Times New Roman" w:hAnsi="Times New Roman"/>
          <w:sz w:val="20"/>
          <w:u w:val="single"/>
        </w:rPr>
        <w:t>provided</w:t>
      </w:r>
      <w:r>
        <w:rPr>
          <w:rFonts w:ascii="Times New Roman" w:hAnsi="Times New Roman"/>
          <w:sz w:val="20"/>
        </w:rPr>
        <w:t>, however, that Disposition shall not include (a) the grant or assignment by any Person of a security interest, Lien or encumbrance in or on any Property</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(b) the leasing of a Property (or any portion thereof) in the ordinary course of business</w:t>
      </w:r>
      <w:r>
        <w:rPr>
          <w:rFonts w:ascii="Times New Roman" w:hAnsi="Times New Roman"/>
          <w:strike/>
          <w:color w:val="FF0000"/>
          <w:sz w:val="20"/>
        </w:rPr>
        <w:t>.</w:t>
      </w:r>
      <w:r>
        <w:rPr>
          <w:rFonts w:ascii="Times New Roman" w:hAnsi="Times New Roman"/>
          <w:color w:val="0000FF"/>
          <w:sz w:val="20"/>
          <w:u w:val="single"/>
          <w:bdr w:val="double" w:sz="2" w:space="1" w:color="000000"/>
        </w:rPr>
        <w:t>, (c) any entry into and any unwind, settlement or termination of any Qualified Bond Hedge Transaction or Qualified Warrant Transaction and any payments in relation thereto, or (d) the payment of interest or premium in connection with and the repayment, redemption, repurchase, or exchange (including any issuance of Capital Stock of MAC in settlement of any exchange right) of any Indebtedness of a Borrower Party that is permitted to be incurred hereunder, including the payment of cash, delivery of Capital Stock of MAC, or any combination thereof, in settlement of any conversion, exchange, redemption, or repurchase of or with respect to such Indebtedness.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Disqualified Capital Stock</w:t>
      </w:r>
      <w:r>
        <w:rPr>
          <w:rFonts w:ascii="Times New Roman" w:hAnsi="Times New Roman"/>
          <w:sz w:val="20"/>
        </w:rPr>
        <w:t xml:space="preserve">” shall mean with respect to any Person any Capital Stock of such Person (other than preferred stock of MAC issued and outstanding on the Closing Date) that by its terms (or by the terms of any security into which it is convertible or for which it is exchangeable), or otherwise (including upon the occurrence of any event), (i) matures or is mandatorily redeemable (other than solely for Capital Stock that does not constitute Disqualified Capital Stock), pursuant to a sinking fund obligation or otherwise (except as a result of a change of control, asset sale or similar event so long as any rights of the holders thereof upon the occurrence of a change of control, asset sale or similar event are subject to the prior Payment in Full), (ii) is redeemable at the option of the holder thereof (other than (a) solely for Capital Stock that does not constitute Disqualified Capital Stock or (b) as a result of a change of control, asset sale or similar event so long as any rights of the holders thereof upon the occurrence of a change of control, asset sale or similar event are subject to the prior Payment in Full), in whole or in part, or (iii) is or becomes convertible into or exchangeable for Indebtedness or any other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that would constitute Disqualified Capital Stock, in each case of clauses (i)-(iii) above, prior to the date that is 91 days after the Extended Revolving Commitment Termination Date; </w:t>
      </w:r>
      <w:r>
        <w:rPr>
          <w:rFonts w:ascii="Times New Roman" w:hAnsi="Times New Roman"/>
          <w:i/>
          <w:sz w:val="20"/>
        </w:rPr>
        <w:t xml:space="preserve">provided </w:t>
      </w:r>
      <w:r>
        <w:rPr>
          <w:rFonts w:ascii="Times New Roman" w:hAnsi="Times New Roman"/>
          <w:sz w:val="20"/>
        </w:rPr>
        <w:t xml:space="preserve">that if such Capital Stock is issued pursuant to a plan for the benefit of employees, officers, directors, managers or consultants of MAC or any of its Subsidiaries or by any such plan to such employees, officers, directors, managers or consultants, such Capital Stock shall not constitute Disqualified Capital Stock solely because it may be required to be repurchased by MAC and its Subsidiaries in order to satisfy applicable statutory or regulatory obligations or as a result of the termination, death or disability of such officers, directors, managers or consultants. </w:t>
      </w:r>
    </w:p>
    <w:p>
      <w:pPr>
        <w:pStyle w:val="TextBody"/>
        <w:bidi w:val="0"/>
        <w:spacing w:before="240" w:after="0"/>
        <w:jc w:val="left"/>
        <w:rPr/>
      </w:pPr>
      <w:r>
        <w:rPr/>
        <w:t>“</w:t>
      </w:r>
      <w:r>
        <w:rPr>
          <w:rFonts w:ascii="Times New Roman" w:hAnsi="Times New Roman"/>
          <w:sz w:val="20"/>
          <w:u w:val="single"/>
        </w:rPr>
        <w:t>Disqualified Institution</w:t>
      </w:r>
      <w:r>
        <w:rPr>
          <w:rFonts w:ascii="Times New Roman" w:hAnsi="Times New Roman"/>
          <w:sz w:val="20"/>
        </w:rPr>
        <w:t>” shall mean (i) each Person who is a competitor of MAC and/or any other Macerich Entity that is designated as a “Disqualified Competitor Party” by the Borrower to the Administrative Agent from time to time in writing, which designation shall become effective three (3) Business Days after the delivery of each such written designation to the Administrative Agent (each Person in this clause (i), a “</w:t>
      </w:r>
      <w:r>
        <w:rPr>
          <w:rFonts w:ascii="Times New Roman" w:hAnsi="Times New Roman"/>
          <w:sz w:val="20"/>
          <w:u w:val="single"/>
        </w:rPr>
        <w:t>Disqualified Competitor Party</w:t>
      </w:r>
      <w:r>
        <w:rPr>
          <w:rFonts w:ascii="Times New Roman" w:hAnsi="Times New Roman"/>
          <w:sz w:val="20"/>
        </w:rPr>
        <w:t xml:space="preserve">”), (ii) each other Person designated as a “Disqualified Institution” by the Borrower to the Administrative Agent prior the Closing Date, and (iii) the Subsidiaries and controlled Affiliates and Affiliates that are under common control with the Persons identified in the foregoing clauses (i) and (ii), in each case under this clause (iii), that are readily identifiable as such according to their names or would otherwise be evident from customary know your customer due diligence conducted by Lenders. Any such designation shall not apply retroactively to disqualify any persons that have previously acquired, or entered into a trade to acquire, an assignment or participation interest in the Commitments or Credit Exposure. </w:t>
      </w:r>
    </w:p>
    <w:p>
      <w:pPr>
        <w:pStyle w:val="TextBody"/>
        <w:bidi w:val="0"/>
        <w:spacing w:before="240" w:after="0"/>
        <w:jc w:val="left"/>
        <w:rPr/>
      </w:pPr>
      <w:r>
        <w:rPr/>
        <w:t>“</w:t>
      </w:r>
      <w:r>
        <w:rPr>
          <w:rFonts w:ascii="Times New Roman" w:hAnsi="Times New Roman"/>
          <w:sz w:val="20"/>
          <w:u w:val="single"/>
        </w:rPr>
        <w:t>Disqualified Competitor Party</w:t>
      </w:r>
      <w:r>
        <w:rPr>
          <w:rFonts w:ascii="Times New Roman" w:hAnsi="Times New Roman"/>
          <w:sz w:val="20"/>
        </w:rPr>
        <w:t xml:space="preserve">” shall have the meaning given such term in the definition of Disqualified Institution. </w:t>
      </w:r>
    </w:p>
    <w:p>
      <w:pPr>
        <w:pStyle w:val="TextBody"/>
        <w:bidi w:val="0"/>
        <w:spacing w:before="240" w:after="0"/>
        <w:jc w:val="left"/>
        <w:rPr/>
      </w:pPr>
      <w:r>
        <w:rPr/>
        <w:t>“</w:t>
      </w:r>
      <w:r>
        <w:rPr>
          <w:rFonts w:ascii="Times New Roman" w:hAnsi="Times New Roman"/>
          <w:sz w:val="20"/>
          <w:u w:val="single"/>
        </w:rPr>
        <w:t>Distribution</w:t>
      </w:r>
      <w:r>
        <w:rPr>
          <w:rFonts w:ascii="Times New Roman" w:hAnsi="Times New Roman"/>
          <w:sz w:val="20"/>
        </w:rPr>
        <w:t xml:space="preserve">” shall mean with respect to MAC or the Borrower: (i) any distribution of cash or Cash Equivalents, directly or indirectly, to the partners or holders of Capital Stock of such Persons, or any other distribution on or in respect of any partnership, company or equity interests of such Persons (including any stock repurchases or buybacks), other than distributions payable solely in shares of Capital Stock of MAC or the Borrower; and (ii) the declaration or payment of any dividend on or in respect of any shares of any class of Capital Stock of such Persons, other than dividends payable solely in shares of Capital Stock of MAC or the Borrower. </w:t>
      </w:r>
      <w:r>
        <w:rPr>
          <w:rFonts w:ascii="Times New Roman" w:hAnsi="Times New Roman"/>
          <w:color w:val="0000FF"/>
          <w:sz w:val="20"/>
          <w:u w:val="single"/>
          <w:bdr w:val="double" w:sz="2" w:space="1" w:color="000000"/>
        </w:rPr>
        <w:t>For the avoidance of doubt, (a) the reference to “equity interests” in the foregoing clause (i) shall not include any Qualified Convertible Indebtedness and (b) “Distribution” shall not include (x) any payments in connection with any Qualified Bond Hedge Transaction or (y) any settlement, unwind or termination of all or any portion of any Qualified Warrant Transaction (I) with proceeds from the settlement, unwind or other termination of all or any portion of any related Qualified Bond Hedge Transaction, (II) by delivery of common stock or (III) by a cash payment not to exceed the amount received upon any exercise, settlement, unwinding or termination of a related Qualified Bond Hedge Transaction (solely to the extent an equivalent cash amount is not being paid to holders of the related Qualified Convertible Indebtedness).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xml:space="preserve">” shall mean lawful currency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EBITDA</w:t>
      </w:r>
      <w:r>
        <w:rPr>
          <w:rFonts w:ascii="Times New Roman" w:hAnsi="Times New Roman"/>
          <w:sz w:val="20"/>
        </w:rPr>
        <w:t xml:space="preserve">” shall mean, for the twelve months then most recently ended, solely with respect to the Consolidated Entities, Net Income, </w:t>
      </w:r>
      <w:r>
        <w:rPr>
          <w:rFonts w:ascii="Times New Roman" w:hAnsi="Times New Roman"/>
          <w:i/>
          <w:sz w:val="20"/>
        </w:rPr>
        <w:t xml:space="preserve">plus </w:t>
      </w:r>
      <w:r>
        <w:rPr>
          <w:rFonts w:ascii="Times New Roman" w:hAnsi="Times New Roman"/>
          <w:sz w:val="20"/>
        </w:rPr>
        <w:t xml:space="preserve">(without duplication) (A) Interest Expense, (B) Tax Expense, (C) Depreciation and Amortization Expense and (D) noncash compensation charges, including any such charges arising from stock options, restricted stock grants and other equity incentive programs, in each case for such period.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shall mean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shall mean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shall mean any Person other than a natural Person that is: </w:t>
      </w:r>
    </w:p>
    <w:p>
      <w:pPr>
        <w:pStyle w:val="TextBody"/>
        <w:bidi w:val="0"/>
        <w:spacing w:before="120" w:after="0"/>
        <w:jc w:val="left"/>
        <w:rPr>
          <w:rFonts w:ascii="Times New Roman" w:hAnsi="Times New Roman"/>
          <w:sz w:val="20"/>
        </w:rPr>
      </w:pPr>
      <w:r>
        <w:rPr>
          <w:rFonts w:ascii="Times New Roman" w:hAnsi="Times New Roman"/>
          <w:sz w:val="20"/>
        </w:rPr>
        <w:t xml:space="preserve">(a) a commercial bank organized under the laws of the United States, or any state thereof, and having a combined capital and surplus of at least $100,000,000; </w:t>
      </w:r>
    </w:p>
    <w:p>
      <w:pPr>
        <w:pStyle w:val="TextBody"/>
        <w:bidi w:val="0"/>
        <w:spacing w:before="240" w:after="0"/>
        <w:jc w:val="left"/>
        <w:rPr>
          <w:rFonts w:ascii="Times New Roman" w:hAnsi="Times New Roman"/>
          <w:sz w:val="20"/>
        </w:rPr>
      </w:pPr>
      <w:r>
        <w:rPr>
          <w:rFonts w:ascii="Times New Roman" w:hAnsi="Times New Roman"/>
          <w:sz w:val="20"/>
        </w:rPr>
        <w:t>(b) a commercial bank organized under the laws of any other country which is a member of the Organization for Economic Cooperation and Development (the “</w:t>
      </w:r>
      <w:r>
        <w:rPr>
          <w:rFonts w:ascii="Times New Roman" w:hAnsi="Times New Roman"/>
          <w:sz w:val="20"/>
          <w:u w:val="single"/>
        </w:rPr>
        <w:t>OECD</w:t>
      </w:r>
      <w:r>
        <w:rPr>
          <w:rFonts w:ascii="Times New Roman" w:hAnsi="Times New Roman"/>
          <w:sz w:val="20"/>
        </w:rPr>
        <w:t>”), or a political subdivision of any such country, and having a combined capital and surplus of at least $100,000,000 (</w:t>
      </w:r>
      <w:r>
        <w:rPr>
          <w:rFonts w:ascii="Times New Roman" w:hAnsi="Times New Roman"/>
          <w:sz w:val="20"/>
          <w:u w:val="single"/>
        </w:rPr>
        <w:t>provided</w:t>
      </w:r>
      <w:r>
        <w:rPr>
          <w:rFonts w:ascii="Times New Roman" w:hAnsi="Times New Roman"/>
          <w:sz w:val="20"/>
        </w:rPr>
        <w:t xml:space="preserve"> that such bank is acting through a branch or agency located in the country in which it is organized or another country which is also a member of the OECD); </w:t>
      </w:r>
    </w:p>
    <w:p>
      <w:pPr>
        <w:pStyle w:val="TextBody"/>
        <w:bidi w:val="0"/>
        <w:spacing w:before="240" w:after="0"/>
        <w:jc w:val="left"/>
        <w:rPr>
          <w:rFonts w:ascii="Times New Roman" w:hAnsi="Times New Roman"/>
          <w:sz w:val="20"/>
        </w:rPr>
      </w:pPr>
      <w:r>
        <w:rPr>
          <w:rFonts w:ascii="Times New Roman" w:hAnsi="Times New Roman"/>
          <w:sz w:val="20"/>
        </w:rPr>
        <w:t xml:space="preserve">(c) a Person that is engaged in the business of commercial banking and that is: (1) an Affiliate of a Lender or an Issuing Lender, (2) an Affiliate of a Person of which a Lender or an Issuing Lender is an Affiliate, or (3) a Person of which a Lender or an Issuing Lender is a Subsidiary; </w:t>
      </w:r>
    </w:p>
    <w:p>
      <w:pPr>
        <w:pStyle w:val="TextBody"/>
        <w:bidi w:val="0"/>
        <w:spacing w:before="240" w:after="0"/>
        <w:jc w:val="left"/>
        <w:rPr>
          <w:rFonts w:ascii="Times New Roman" w:hAnsi="Times New Roman"/>
          <w:sz w:val="20"/>
        </w:rPr>
      </w:pPr>
      <w:r>
        <w:rPr>
          <w:rFonts w:ascii="Times New Roman" w:hAnsi="Times New Roman"/>
          <w:sz w:val="20"/>
        </w:rPr>
        <w:t xml:space="preserve">(d) an insurance company, mutual fund or other financial institution organized under the laws of the United States, any state thereof, any other country which is a member of the OECD or a political subdivision of any such country which invests in bank loans and has a net worth of $500,000,000; or </w:t>
      </w:r>
    </w:p>
    <w:p>
      <w:pPr>
        <w:pStyle w:val="TextBody"/>
        <w:bidi w:val="0"/>
        <w:spacing w:before="240" w:after="0"/>
        <w:jc w:val="left"/>
        <w:rPr>
          <w:rFonts w:ascii="Times New Roman" w:hAnsi="Times New Roman"/>
          <w:sz w:val="20"/>
        </w:rPr>
      </w:pPr>
      <w:r>
        <w:rPr>
          <w:rFonts w:ascii="Times New Roman" w:hAnsi="Times New Roman"/>
          <w:sz w:val="20"/>
        </w:rPr>
        <w:t xml:space="preserve">(e) a Fund (other than a mutual fund) which invests in bank loans and whose assets exceed $100,000,000; </w:t>
      </w:r>
    </w:p>
    <w:p>
      <w:pPr>
        <w:pStyle w:val="TextBody"/>
        <w:bidi w:val="0"/>
        <w:spacing w:before="240" w:after="0"/>
        <w:jc w:val="left"/>
        <w:rPr>
          <w:rFonts w:ascii="Times New Roman" w:hAnsi="Times New Roman"/>
          <w:sz w:val="20"/>
        </w:rPr>
      </w:pPr>
      <w:r>
        <w:rPr>
          <w:rFonts w:ascii="Times New Roman" w:hAnsi="Times New Roman"/>
          <w:sz w:val="20"/>
          <w:u w:val="single"/>
        </w:rPr>
        <w:t>provided, however</w:t>
      </w:r>
      <w:r>
        <w:rPr>
          <w:rFonts w:ascii="Times New Roman" w:hAnsi="Times New Roman"/>
          <w:sz w:val="20"/>
        </w:rPr>
        <w:t xml:space="preserve">, that (i) no Person shall be an “Eligible Assignee” unless at the time of the proposed assignment to such Person: (x) in the case of an assignment of Revolving Commitments and Revolving Loans, such Person is able to make its Applicable Revolving Percentage of the Revolving Commitments in U.S. dollars, and (y) such Person is exempt from withholding of tax on interest and is able to deliver the documents related thereto pursuant to </w:t>
      </w:r>
      <w:r>
        <w:rPr>
          <w:rFonts w:ascii="Times New Roman" w:hAnsi="Times New Roman"/>
          <w:sz w:val="20"/>
          <w:u w:val="single"/>
        </w:rPr>
        <w:t>Section 2.10(5)</w:t>
      </w:r>
      <w:r>
        <w:rPr>
          <w:rFonts w:ascii="Times New Roman" w:hAnsi="Times New Roman"/>
          <w:sz w:val="20"/>
        </w:rPr>
        <w:t xml:space="preserve">, (ii) no Borrower Party nor any Affiliate of any Borrower Party shall be an “Eligible Assignee” and (iii) no Defaulting Lender shall be an “Eligible Assignee” so long as such Lender remains a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Indemnity Agreement</w:t>
      </w:r>
      <w:r>
        <w:rPr>
          <w:rFonts w:ascii="Times New Roman" w:hAnsi="Times New Roman"/>
          <w:sz w:val="20"/>
        </w:rPr>
        <w:t xml:space="preserve">” shall mean the Second Amended and Restated Environmental Indemnity Agreement, dated as of the Closing Date, executed and delivered by each Borrower Party in favor of the Administrative Agent, as Modified from time to time.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Employee Retirement Income Security Act of 1974, as Modified, and the rules and regulations promulgated thereunder as from time to time in effect.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shall mean any entity, trade or business (whether or not incorporated) that, together with any Consolidated Entity, would be deemed a “single employer” within the meaning of Section 414(b) or (c) of the Code (and Sections 414(m) and (o) of the Code for purposes of provisions relating to Section 412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shall mean (a) a Reportable Event with respect to a Pension Plan; (b) a withdrawal by any Consolidated Entity or any ERISA Affiliate from a Pension Plan subject to Section 4063 of ERISA during a plan year in which it was a “substantial employer” (as defined in Section 4001(a)(2) of ERISA) or a cessation of operations which is treated as such a withdrawal under Section 4062(e) of ERISA; (c) a complete or partial withdrawal (within the meanings of Sections 4203 and 4205 of ERISA) by any Consolidated Entity or any ERISA Affiliate from a Multiemployer Plan or receipt by any Consolidated Entity or any ERISA Affiliate of notice from any Multiemployer Plan that it is in “reorganization” (within the meaning of Section 4241 of ERISA), “insolvency” (within the meaning of Section 4245 of ERISA), or “endangered or critical status” (within the meaning of Section 305 of ERISA); (d) the filing of a notice of intent to terminate, the treatment of a plan amendment as a termination under Section 4041 or 4041A of ERISA or the commencement of proceedings by the PBGC to terminate a Pension Plan or Multiemployer Plan; (e) a failure by any Consolidated Entity or any ERISA Affiliate to meet the funding requirements of Sections 412 and 430 of the Code or Sections 302 and 303 of ERISA with respect to any Pension Plan, whether or not waived, or the failure to make by its due date a required installment under Section 430(j) of the Code or Section 303(j) of ERISA with respect to any Pension Plan or the failure to make any required contribution to a Multiemployer Plan; (f) an event or condition which could reasonably be expected to constitute grounds under Section 4042 of ERISA for the termination of, or the appointment of a trustee to administer, any Pension Plan or Multiemployer Plan; (g) the imposition of any liability under Title IV of ERISA, other than for PBGC premiums due but not delinquent under Section 4007 of ERISA, upon any Consolidated Entity or any ERISA Affiliate; or (h) the filing of an application for a waiver of the minimum funding standard pursuant to Section 412(c) of the Code or Section 303(c) of ERISA with respect to any Pension Plan.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shall have the meaning given such term in </w:t>
      </w:r>
      <w:r>
        <w:rPr>
          <w:rFonts w:ascii="Times New Roman" w:hAnsi="Times New Roman"/>
          <w:sz w:val="20"/>
          <w:u w:val="single"/>
        </w:rPr>
        <w:t>Section 10.15(1)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Assigned Amount</w:t>
      </w:r>
      <w:r>
        <w:rPr>
          <w:rFonts w:ascii="Times New Roman" w:hAnsi="Times New Roman"/>
          <w:sz w:val="20"/>
        </w:rPr>
        <w:t xml:space="preserve">” shall have the meaning given such term in </w:t>
      </w:r>
      <w:r>
        <w:rPr>
          <w:rFonts w:ascii="Times New Roman" w:hAnsi="Times New Roman"/>
          <w:sz w:val="20"/>
          <w:u w:val="single"/>
        </w:rPr>
        <w:t>Section 10.15(7)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Erroneous Payment Assigning Lender</w:t>
      </w:r>
      <w:r>
        <w:rPr>
          <w:rFonts w:ascii="Times New Roman" w:hAnsi="Times New Roman"/>
          <w:sz w:val="20"/>
        </w:rPr>
        <w:t xml:space="preserve">” shall have the meaning given such term in </w:t>
      </w:r>
      <w:r>
        <w:rPr>
          <w:rFonts w:ascii="Times New Roman" w:hAnsi="Times New Roman"/>
          <w:sz w:val="20"/>
          <w:u w:val="single"/>
        </w:rPr>
        <w:t>Section 10.15(4)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Deficiency Assignment</w:t>
      </w:r>
      <w:r>
        <w:rPr>
          <w:rFonts w:ascii="Times New Roman" w:hAnsi="Times New Roman"/>
          <w:sz w:val="20"/>
        </w:rPr>
        <w:t xml:space="preserve">” shall have the meaning given such term in </w:t>
      </w:r>
      <w:r>
        <w:rPr>
          <w:rFonts w:ascii="Times New Roman" w:hAnsi="Times New Roman"/>
          <w:sz w:val="20"/>
          <w:u w:val="single"/>
        </w:rPr>
        <w:t>Section 10.15(4)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Impacted Class</w:t>
      </w:r>
      <w:r>
        <w:rPr>
          <w:rFonts w:ascii="Times New Roman" w:hAnsi="Times New Roman"/>
          <w:sz w:val="20"/>
        </w:rPr>
        <w:t xml:space="preserve">” shall have the meaning given such term in </w:t>
      </w:r>
      <w:r>
        <w:rPr>
          <w:rFonts w:ascii="Times New Roman" w:hAnsi="Times New Roman"/>
          <w:sz w:val="20"/>
          <w:u w:val="single"/>
        </w:rPr>
        <w:t>Section 10.15(4)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rPr>
        <w:t xml:space="preserve">Erroneous Payment Return Deficiency” shall have the meaning given such term in </w:t>
      </w:r>
      <w:r>
        <w:rPr>
          <w:rFonts w:ascii="Times New Roman" w:hAnsi="Times New Roman"/>
          <w:sz w:val="20"/>
          <w:u w:val="single"/>
        </w:rPr>
        <w:t>Section 10.15(4)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Subrogation Rights</w:t>
      </w:r>
      <w:r>
        <w:rPr>
          <w:rFonts w:ascii="Times New Roman" w:hAnsi="Times New Roman"/>
          <w:sz w:val="20"/>
        </w:rPr>
        <w:t xml:space="preserve">” shall have the meaning given such term in </w:t>
      </w:r>
      <w:r>
        <w:rPr>
          <w:rFonts w:ascii="Times New Roman" w:hAnsi="Times New Roman"/>
          <w:sz w:val="20"/>
          <w:u w:val="single"/>
        </w:rPr>
        <w:t>Section 10.15(6)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shall mean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shall have the meaning given such term in </w:t>
      </w:r>
      <w:r>
        <w:rPr>
          <w:rFonts w:ascii="Times New Roman" w:hAnsi="Times New Roman"/>
          <w:sz w:val="20"/>
          <w:u w:val="single"/>
        </w:rPr>
        <w:t>Article 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Excepted Judgment</w:t>
      </w:r>
      <w:r>
        <w:rPr>
          <w:rFonts w:ascii="Times New Roman" w:hAnsi="Times New Roman"/>
          <w:sz w:val="20"/>
        </w:rPr>
        <w:t>” shall have the meaning given such term in</w:t>
      </w:r>
      <w:r>
        <w:rPr>
          <w:rFonts w:ascii="Times New Roman" w:hAnsi="Times New Roman"/>
          <w:sz w:val="20"/>
          <w:u w:val="single"/>
        </w:rPr>
        <w:t xml:space="preserve"> Section 9.9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shall mean, with respect to any Guarantor, any obligation (a “</w:t>
      </w:r>
      <w:r>
        <w:rPr>
          <w:rFonts w:ascii="Times New Roman" w:hAnsi="Times New Roman"/>
          <w:sz w:val="20"/>
          <w:u w:val="single"/>
        </w:rPr>
        <w:t>Swap Obligation</w:t>
      </w:r>
      <w:r>
        <w:rPr>
          <w:rFonts w:ascii="Times New Roman" w:hAnsi="Times New Roman"/>
          <w:sz w:val="20"/>
        </w:rPr>
        <w:t xml:space="preserve">”) to pay or perform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shall mean, with respect to any recipient of any payment on account of any obligation of any Borrower Party hereunder or under any other Loan Document, any of the following Taxes imposed on or with respect to such recipient or required to be withheld or deducted from a payment to such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on the date on which (i) such Lender acquires such interest in the Loan or Commitment (other than pursuant to an assignment requested by the Borrower under </w:t>
      </w:r>
      <w:r>
        <w:rPr>
          <w:rFonts w:ascii="Times New Roman" w:hAnsi="Times New Roman"/>
          <w:sz w:val="20"/>
          <w:u w:val="single"/>
        </w:rPr>
        <w:t>Section 2.8(2)</w:t>
      </w:r>
      <w:r>
        <w:rPr>
          <w:rFonts w:ascii="Times New Roman" w:hAnsi="Times New Roman"/>
          <w:sz w:val="20"/>
        </w:rPr>
        <w:t>) or (ii) such Lender changes its lending office, except in each case to the extent that, pursuant to</w:t>
      </w:r>
      <w:r>
        <w:rPr>
          <w:rFonts w:ascii="Times New Roman" w:hAnsi="Times New Roman"/>
          <w:sz w:val="20"/>
          <w:u w:val="single"/>
        </w:rPr>
        <w:t xml:space="preserve"> Section 2.10</w:t>
      </w:r>
      <w:r>
        <w:rPr>
          <w:rFonts w:ascii="Times New Roman" w:hAnsi="Times New Roman"/>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sz w:val="20"/>
          <w:u w:val="single"/>
        </w:rPr>
        <w:t>Section 2.10(6)</w:t>
      </w:r>
      <w:r>
        <w:rPr>
          <w:rFonts w:ascii="Times New Roman" w:hAnsi="Times New Roman"/>
          <w:sz w:val="20"/>
        </w:rPr>
        <w:t xml:space="preserve"> and (d) any U.S. federal withholding Taxes imposed under FATCA. </w:t>
      </w:r>
    </w:p>
    <w:p>
      <w:pPr>
        <w:pStyle w:val="TextBody"/>
        <w:bidi w:val="0"/>
        <w:spacing w:before="240" w:after="0"/>
        <w:jc w:val="left"/>
        <w:rPr/>
      </w:pPr>
      <w:r>
        <w:rPr/>
        <w:t>“</w:t>
      </w:r>
      <w:r>
        <w:rPr>
          <w:rFonts w:ascii="Times New Roman" w:hAnsi="Times New Roman"/>
          <w:sz w:val="20"/>
          <w:u w:val="single"/>
        </w:rPr>
        <w:t>Executive Order</w:t>
      </w:r>
      <w:r>
        <w:rPr>
          <w:rFonts w:ascii="Times New Roman" w:hAnsi="Times New Roman"/>
          <w:sz w:val="20"/>
        </w:rPr>
        <w:t>” shall have the meaning given such term in</w:t>
      </w:r>
      <w:r>
        <w:rPr>
          <w:rFonts w:ascii="Times New Roman" w:hAnsi="Times New Roman"/>
          <w:sz w:val="20"/>
          <w:u w:val="single"/>
        </w:rPr>
        <w:t xml:space="preserve"> Section 6.26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shall mean those letters of credit issued under that certain Second Amended and Restated Credit Agreement, dated as of July 6, 2016, as Modified prior to the Original Closing Date, by and among the Borrower, MAC, the lenders from time to time party thereto, DBNY, as administrative agent and the other agents named therein, which remained outstanding as of the Original Closing Date and are listed on </w:t>
      </w:r>
      <w:r>
        <w:rPr>
          <w:rFonts w:ascii="Times New Roman" w:hAnsi="Times New Roman"/>
          <w:sz w:val="20"/>
          <w:u w:val="single"/>
        </w:rPr>
        <w:t>Schedule 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Extended Revolving Commitment Termination Date</w:t>
      </w:r>
      <w:r>
        <w:rPr>
          <w:rFonts w:ascii="Times New Roman" w:hAnsi="Times New Roman"/>
          <w:sz w:val="20"/>
        </w:rPr>
        <w:t xml:space="preserve">” shall have the meaning given such term in </w:t>
      </w:r>
      <w:r>
        <w:rPr>
          <w:rFonts w:ascii="Times New Roman" w:hAnsi="Times New Roman"/>
          <w:sz w:val="20"/>
          <w:u w:val="single"/>
        </w:rPr>
        <w:t>Section 1.7(5)(A)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Extension Notice</w:t>
      </w:r>
      <w:r>
        <w:rPr>
          <w:rFonts w:ascii="Times New Roman" w:hAnsi="Times New Roman"/>
          <w:sz w:val="20"/>
        </w:rPr>
        <w:t xml:space="preserve">” shall have the meaning given such term in </w:t>
      </w:r>
      <w:r>
        <w:rPr>
          <w:rFonts w:ascii="Times New Roman" w:hAnsi="Times New Roman"/>
          <w:sz w:val="20"/>
          <w:u w:val="single"/>
        </w:rPr>
        <w:t>Section 1.7(5)(A)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Extension Notice Date</w:t>
      </w:r>
      <w:r>
        <w:rPr>
          <w:rFonts w:ascii="Times New Roman" w:hAnsi="Times New Roman"/>
          <w:sz w:val="20"/>
        </w:rPr>
        <w:t>” shall have the meaning given such term in</w:t>
      </w:r>
      <w:r>
        <w:rPr>
          <w:rFonts w:ascii="Times New Roman" w:hAnsi="Times New Roman"/>
          <w:sz w:val="20"/>
          <w:u w:val="single"/>
        </w:rPr>
        <w:t xml:space="preserve"> Section 1.7(5)(A)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Extension Option</w:t>
      </w:r>
      <w:r>
        <w:rPr>
          <w:rFonts w:ascii="Times New Roman" w:hAnsi="Times New Roman"/>
          <w:sz w:val="20"/>
        </w:rPr>
        <w:t xml:space="preserve">” shall have the meaning given such term in </w:t>
      </w:r>
      <w:r>
        <w:rPr>
          <w:rFonts w:ascii="Times New Roman" w:hAnsi="Times New Roman"/>
          <w:sz w:val="20"/>
          <w:u w:val="single"/>
        </w:rPr>
        <w:t>Section 1.7(5)(A)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Facility Increase</w:t>
      </w:r>
      <w:r>
        <w:rPr>
          <w:rFonts w:ascii="Times New Roman" w:hAnsi="Times New Roman"/>
          <w:sz w:val="20"/>
        </w:rPr>
        <w:t xml:space="preserve">” shall have the meaning given such term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Facility Increase Arrangers</w:t>
      </w:r>
      <w:r>
        <w:rPr>
          <w:rFonts w:ascii="Times New Roman" w:hAnsi="Times New Roman"/>
          <w:sz w:val="20"/>
        </w:rPr>
        <w:t>” shall have the meaning given such term in</w:t>
      </w:r>
      <w:r>
        <w:rPr>
          <w:rFonts w:ascii="Times New Roman" w:hAnsi="Times New Roman"/>
          <w:sz w:val="20"/>
          <w:u w:val="single"/>
        </w:rPr>
        <w:t xml:space="preserve"> Section 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Facing Fee</w:t>
      </w:r>
      <w:r>
        <w:rPr>
          <w:rFonts w:ascii="Times New Roman" w:hAnsi="Times New Roman"/>
          <w:sz w:val="20"/>
        </w:rPr>
        <w:t xml:space="preserve">” shall have the meaning given such term in </w:t>
      </w:r>
      <w:r>
        <w:rPr>
          <w:rFonts w:ascii="Times New Roman" w:hAnsi="Times New Roman"/>
          <w:sz w:val="20"/>
          <w:u w:val="single"/>
        </w:rPr>
        <w:t>Section 2.11(2)(B)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shall mean Sections 1471 through 1474 of the Code as of the date hereof (and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pPr>
      <w:r>
        <w:rPr/>
        <w:t>“</w:t>
      </w:r>
      <w:r>
        <w:rPr>
          <w:rFonts w:ascii="Times New Roman" w:hAnsi="Times New Roman"/>
          <w:sz w:val="20"/>
          <w:u w:val="single"/>
        </w:rPr>
        <w:t>Federal Flood Insurance</w:t>
      </w:r>
      <w:r>
        <w:rPr>
          <w:rFonts w:ascii="Times New Roman" w:hAnsi="Times New Roman"/>
          <w:sz w:val="20"/>
        </w:rPr>
        <w:t xml:space="preserve">” shall mean federally backed Flood Insurance available under the NFIP to owners of real property improvements located in Special Flood Hazard Areas in a community participating in the NFIP. </w:t>
      </w:r>
    </w:p>
    <w:p>
      <w:pPr>
        <w:pStyle w:val="TextBody"/>
        <w:bidi w:val="0"/>
        <w:spacing w:before="240" w:after="0"/>
        <w:jc w:val="left"/>
        <w:rPr/>
      </w:pPr>
      <w:r>
        <w:rPr/>
        <w:t>“</w:t>
      </w:r>
      <w:r>
        <w:rPr>
          <w:rFonts w:ascii="Times New Roman" w:hAnsi="Times New Roman"/>
          <w:sz w:val="20"/>
          <w:u w:val="single"/>
        </w:rPr>
        <w:t>Federal Funds Rate</w:t>
      </w:r>
      <w:r>
        <w:rPr>
          <w:rFonts w:ascii="Times New Roman" w:hAnsi="Times New Roman"/>
          <w:sz w:val="20"/>
        </w:rPr>
        <w:t xml:space="preserve">” shall mean for any day, an interest rate per annum equal to the weighted average of the rates on overnight Federal funds transactions with members of the Federal Reserve System on such day, as published for such day (or, if such day is not a Business Day, for the immediately preceding Business Day) by the Federal Reserve Bank of New York, or, if such rate is not so published for any day which is a Business Day, the average rate (rounded, if necessary, to a whole multiple of 1/100 of 1%) charged to the Administrative Agent on such day on such transactions as reasonably determined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Fee Letter</w:t>
      </w:r>
      <w:r>
        <w:rPr>
          <w:rFonts w:ascii="Times New Roman" w:hAnsi="Times New Roman"/>
          <w:sz w:val="20"/>
        </w:rPr>
        <w:t xml:space="preserve">” shall mean that certain Fee Letter dated as of the Closing Date entered into by the Borrower, Deutsche Bank Securities Inc., DBNY and JPMorgan Chase Bank, N.A. </w:t>
      </w:r>
    </w:p>
    <w:p>
      <w:pPr>
        <w:pStyle w:val="TextBody"/>
        <w:bidi w:val="0"/>
        <w:spacing w:before="360" w:after="0"/>
        <w:jc w:val="left"/>
        <w:rPr/>
      </w:pPr>
      <w:r>
        <w:rPr/>
        <w:t>“</w:t>
      </w:r>
      <w:r>
        <w:rPr>
          <w:rFonts w:ascii="Times New Roman" w:hAnsi="Times New Roman"/>
          <w:sz w:val="20"/>
          <w:u w:val="single"/>
        </w:rPr>
        <w:t>FEMA</w:t>
      </w:r>
      <w:r>
        <w:rPr>
          <w:rFonts w:ascii="Times New Roman" w:hAnsi="Times New Roman"/>
          <w:sz w:val="20"/>
        </w:rPr>
        <w:t xml:space="preserve">” shall mean the Federal Emergency Management Agency, a component of the U.S. Department of Homeland Security that administers the NFIP. </w:t>
      </w:r>
    </w:p>
    <w:p>
      <w:pPr>
        <w:pStyle w:val="TextBody"/>
        <w:bidi w:val="0"/>
        <w:spacing w:before="240" w:after="0"/>
        <w:jc w:val="left"/>
        <w:rPr/>
      </w:pPr>
      <w:r>
        <w:rPr/>
        <w:t>“</w:t>
      </w:r>
      <w:r>
        <w:rPr>
          <w:rFonts w:ascii="Times New Roman" w:hAnsi="Times New Roman"/>
          <w:sz w:val="20"/>
          <w:u w:val="single"/>
        </w:rPr>
        <w:t>Financing or Joint Venture Transaction</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an incurrence of Indebtedness of the type set forth in clauses (a) and/or (b) of the definition thereof that is to be secured by Liens on (x) assets that constitute Collateral immediately prior to the release of such assets from the Collateral or (y) in the case of Collateral that is Capital Stock, either a Real Property or Capital Stock owned by a Subsidiary or Joint Venture of the Person whose Capital Stock constitutes Collateral, which Indebtedness and Liens are permitted hereunder after giving effect to such release and are incurred substantially concurrently with such release; </w:t>
      </w:r>
    </w:p>
    <w:p>
      <w:pPr>
        <w:pStyle w:val="TextBody"/>
        <w:bidi w:val="0"/>
        <w:spacing w:before="240" w:after="0"/>
        <w:jc w:val="left"/>
        <w:rPr>
          <w:rFonts w:ascii="Times New Roman" w:hAnsi="Times New Roman"/>
          <w:sz w:val="20"/>
        </w:rPr>
      </w:pPr>
      <w:r>
        <w:rPr>
          <w:rFonts w:ascii="Times New Roman" w:hAnsi="Times New Roman"/>
          <w:sz w:val="20"/>
        </w:rPr>
        <w:t xml:space="preserve">(ii) a contribution of (x) Collateral or (y) in the case of Collateral that is Capital Stock, either a Real Property or Capital Stock owned by a Subsidiary or Joint Venture of the Person whose Capital Stock constitutes Collateral, in each case of clauses (x) and (y), to a Joint Venture or non-Wholly-Owned Subsidiary in a transaction that is permitted hereunder; and/or </w:t>
      </w:r>
    </w:p>
    <w:p>
      <w:pPr>
        <w:pStyle w:val="TextBody"/>
        <w:bidi w:val="0"/>
        <w:spacing w:before="240" w:after="0"/>
        <w:jc w:val="left"/>
        <w:rPr>
          <w:rFonts w:ascii="Times New Roman" w:hAnsi="Times New Roman"/>
          <w:sz w:val="20"/>
        </w:rPr>
      </w:pPr>
      <w:r>
        <w:rPr>
          <w:rFonts w:ascii="Times New Roman" w:hAnsi="Times New Roman"/>
          <w:sz w:val="20"/>
        </w:rPr>
        <w:t xml:space="preserve">(iii) an incurrence of Indebtedness of the type set forth in clauses (a) and/or (b) of the definition thereof that is to be secured by Liens on a Borrowing Base Unencumbered Asset (and/or on the Capital Stock of a direct or indirect owner of such Borrowing Base Unencumbered Asset) substantially concurrently with the designation of such Borrowing Base Unencumbered Asset as a non-Borrowing Base Asset, which Indebtedness and Liens are permitted hereunder after giving effect to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of clauses (i), (ii) and (iii), such Financing or Joint Venture Transaction is undertaken for bona fide business purposes (i.e., and not with the primary purpose of obtaining release of such Collateral (in the case of clauses (i) and (ii)) or designation of such Borrowing Base Unencumbered Asset as a non-Borrowing Base Asset (in the case of clause (iii))) and either (x) a release of such Collateral (in the case of clauses (i) and (ii)) or designation of such Borrowing Base Unencumbered Asset as a non-Borrowing Base Asset (in the case of clause (iii)) is required in order to consummate such incurrence of Indebtedness or Joint Venture transaction or (y) the lack of release of such Collateral (in the case of clauses (i) and (ii)) or designation of such Borrowing Base Unencumbered Asset as a non-Borrowing Base Asset (in the case of clause (iii)) would adversely affect the terms of such Indebtedness or Joint Venture transaction in any material respect. </w:t>
      </w:r>
    </w:p>
    <w:p>
      <w:pPr>
        <w:pStyle w:val="TextBody"/>
        <w:bidi w:val="0"/>
        <w:spacing w:before="240" w:after="0"/>
        <w:jc w:val="left"/>
        <w:rPr/>
      </w:pPr>
      <w:r>
        <w:rPr/>
        <w:t>“</w:t>
      </w:r>
      <w:r>
        <w:rPr>
          <w:rFonts w:ascii="Times New Roman" w:hAnsi="Times New Roman"/>
          <w:sz w:val="20"/>
          <w:u w:val="single"/>
        </w:rPr>
        <w:t>Financing or Joint Venture Transaction Release Conditions</w:t>
      </w:r>
      <w:r>
        <w:rPr>
          <w:rFonts w:ascii="Times New Roman" w:hAnsi="Times New Roman"/>
          <w:sz w:val="20"/>
        </w:rPr>
        <w:t xml:space="preserve">” shall mean, with respect to the release of any Collateral in connection with a Financing or Joint Venture Transaction or the designation of a Borrowing Base Unencumbered Asset as a non-Borrowing Base Asset in connection with a Financing or Joint Venture Transaction described in clause (iii) of the definition thereof, the following conditions: (i) immediately prior to and after giving effect to such release or designation, as applicable, no Specified Default or Event of Default shall exist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if a Specified Default or Event of Default is then continuing, the underlying events or circumstances that resulted in the occurrence of such Specified Default or Event of Default are effectively cured after giving effect thereto (for example, if an Event of Default shall have occurred as a result of the Borrower’s failure to make a payment that is required hereunder, and the consummation of the applicable Financing or Joint Venture Transaction results in net cash proceeds that are used to make such required payment) and at such time no other Specified Default or Event of Default is then continuing), (ii) such release or designation, as applicable, is being consummated as part of and substantially concurrently with a Financing or Joint Venture Transaction, (iii) if such release or designation relates to a Borrowing Base Asset, immediately after giving effect to such release or designation, as applicable, the remaining Borrowing Base Assets shall satisfy (or continue to satisfy) the requirements set forth in the definition of Borrowing Base Criteria, (iv) if such release or designation relates to a Borrowing Base Asset, the Borrowing Base Amount (calculated on a pro forma basis after giving effect to such release and to any repayment of any Revolving Loans or LC Disbursements, and Cash Collateralization of any outstanding Letters of Credit, at the time thereof) is greater than or equal to the total Revolving Credit Exposures and (v) MAC shall have delivered to the Administrative Agent and the Collateral Agent (A) a certificate of a Responsible Officer of MAC certifying compliance with the foregoing clauses (i) through (iii), in reasonable detail and with such supporting documentation as the Administrative Agent or Collateral Agent may reasonably request, and requesting such release and (B) if such release or designation relates to a Borrowing Base Asset, a Borrowing Base Certificate demonstrating compliance with the foregoing clause (iv). </w:t>
      </w:r>
    </w:p>
    <w:p>
      <w:pPr>
        <w:pStyle w:val="TextBody"/>
        <w:bidi w:val="0"/>
        <w:spacing w:before="240" w:after="0"/>
        <w:jc w:val="left"/>
        <w:rPr/>
      </w:pPr>
      <w:r>
        <w:rPr/>
        <w:t>“</w:t>
      </w:r>
      <w:r>
        <w:rPr>
          <w:rFonts w:ascii="Times New Roman" w:hAnsi="Times New Roman"/>
          <w:sz w:val="20"/>
          <w:u w:val="single"/>
        </w:rPr>
        <w:t>FIRREA</w:t>
      </w:r>
      <w:r>
        <w:rPr>
          <w:rFonts w:ascii="Times New Roman" w:hAnsi="Times New Roman"/>
          <w:sz w:val="20"/>
        </w:rPr>
        <w:t xml:space="preserve">” shall mean the Financial Institutions Reform, Recovery and Enforcement Act of 1989 (FIRREA), as amended. </w:t>
      </w:r>
    </w:p>
    <w:p>
      <w:pPr>
        <w:pStyle w:val="TextBody"/>
        <w:bidi w:val="0"/>
        <w:spacing w:before="240" w:after="0"/>
        <w:jc w:val="left"/>
        <w:rPr/>
      </w:pPr>
      <w:r>
        <w:rPr/>
        <w:t>“</w:t>
      </w:r>
      <w:r>
        <w:rPr>
          <w:rFonts w:ascii="Times New Roman" w:hAnsi="Times New Roman"/>
          <w:sz w:val="20"/>
          <w:u w:val="single"/>
        </w:rPr>
        <w:t>First Amended and Restated Credit Agreement</w:t>
      </w:r>
      <w:r>
        <w:rPr>
          <w:rFonts w:ascii="Times New Roman" w:hAnsi="Times New Roman"/>
          <w:sz w:val="20"/>
        </w:rPr>
        <w:t xml:space="preserve">” shall have the meaning given such term in the recitals to this Agreement. </w:t>
      </w:r>
    </w:p>
    <w:p>
      <w:pPr>
        <w:pStyle w:val="TextBody"/>
        <w:bidi w:val="0"/>
        <w:spacing w:before="240" w:after="0"/>
        <w:jc w:val="left"/>
        <w:rPr/>
      </w:pPr>
      <w:r>
        <w:rPr/>
        <w:t>“</w:t>
      </w:r>
      <w:r>
        <w:rPr>
          <w:rFonts w:ascii="Times New Roman" w:hAnsi="Times New Roman"/>
          <w:sz w:val="20"/>
          <w:u w:val="single"/>
        </w:rPr>
        <w:t>First Amendment and Restatement Closing Date</w:t>
      </w:r>
      <w:r>
        <w:rPr>
          <w:rFonts w:ascii="Times New Roman" w:hAnsi="Times New Roman"/>
          <w:sz w:val="20"/>
        </w:rPr>
        <w:t xml:space="preserve">” shall mean September 11, 2023. </w:t>
      </w:r>
    </w:p>
    <w:p>
      <w:pPr>
        <w:pStyle w:val="TextBody"/>
        <w:bidi w:val="0"/>
        <w:spacing w:before="240" w:after="0"/>
        <w:jc w:val="left"/>
        <w:rPr/>
      </w:pPr>
      <w:r>
        <w:rPr/>
        <w:t>“</w:t>
      </w:r>
      <w:r>
        <w:rPr>
          <w:rFonts w:ascii="Times New Roman" w:hAnsi="Times New Roman"/>
          <w:sz w:val="20"/>
          <w:u w:val="single"/>
        </w:rPr>
        <w:t>Fiscal Quarter</w:t>
      </w:r>
      <w:r>
        <w:rPr>
          <w:rFonts w:ascii="Times New Roman" w:hAnsi="Times New Roman"/>
          <w:sz w:val="20"/>
        </w:rPr>
        <w:t>” or “</w:t>
      </w:r>
      <w:r>
        <w:rPr>
          <w:rFonts w:ascii="Times New Roman" w:hAnsi="Times New Roman"/>
          <w:sz w:val="20"/>
          <w:u w:val="single"/>
        </w:rPr>
        <w:t>fiscal quarter</w:t>
      </w:r>
      <w:r>
        <w:rPr>
          <w:rFonts w:ascii="Times New Roman" w:hAnsi="Times New Roman"/>
          <w:sz w:val="20"/>
        </w:rPr>
        <w:t xml:space="preserve">” shall mean any three-month period ending on March 31, June 30, September 30 or December 31 of any Fiscal Year. </w:t>
      </w:r>
    </w:p>
    <w:p>
      <w:pPr>
        <w:pStyle w:val="TextBody"/>
        <w:bidi w:val="0"/>
        <w:spacing w:before="240" w:after="0"/>
        <w:jc w:val="left"/>
        <w:rPr/>
      </w:pPr>
      <w:r>
        <w:rPr/>
        <w:t>“</w:t>
      </w:r>
      <w:r>
        <w:rPr>
          <w:rFonts w:ascii="Times New Roman" w:hAnsi="Times New Roman"/>
          <w:sz w:val="20"/>
          <w:u w:val="single"/>
        </w:rPr>
        <w:t>Fiscal Year</w:t>
      </w:r>
      <w:r>
        <w:rPr>
          <w:rFonts w:ascii="Times New Roman" w:hAnsi="Times New Roman"/>
          <w:sz w:val="20"/>
        </w:rPr>
        <w:t>” or “</w:t>
      </w:r>
      <w:r>
        <w:rPr>
          <w:rFonts w:ascii="Times New Roman" w:hAnsi="Times New Roman"/>
          <w:sz w:val="20"/>
          <w:u w:val="single"/>
        </w:rPr>
        <w:t>fiscal year</w:t>
      </w:r>
      <w:r>
        <w:rPr>
          <w:rFonts w:ascii="Times New Roman" w:hAnsi="Times New Roman"/>
          <w:sz w:val="20"/>
        </w:rPr>
        <w:t xml:space="preserve">” shall mean the 12-month period ending on December 31 in each year or such other period as MAC may designate and the Administrative Agent may approve in writing. </w:t>
      </w:r>
    </w:p>
    <w:p>
      <w:pPr>
        <w:pStyle w:val="TextBody"/>
        <w:bidi w:val="0"/>
        <w:spacing w:before="240" w:after="0"/>
        <w:jc w:val="left"/>
        <w:rPr/>
      </w:pPr>
      <w:r>
        <w:rPr/>
        <w:t>“</w:t>
      </w:r>
      <w:r>
        <w:rPr>
          <w:rFonts w:ascii="Times New Roman" w:hAnsi="Times New Roman"/>
          <w:sz w:val="20"/>
          <w:u w:val="single"/>
        </w:rPr>
        <w:t>Fixed Charge Coverage Ratio</w:t>
      </w:r>
      <w:r>
        <w:rPr>
          <w:rFonts w:ascii="Times New Roman" w:hAnsi="Times New Roman"/>
          <w:sz w:val="20"/>
        </w:rPr>
        <w:t xml:space="preserve">” shall mean, at any time, the ratio of (i) EBITDA for the twelve months then most recently ended (except that, with respect to any Project that has not achieved Stabilization, EBITDA for such Project shall be calculated for the most recent Fiscal Quarter and annualized), to (ii) Fixed Charges for such period (except that, with respect to any Project that has not achieved Stabilization, Fixed Charges for such Project shall be calculated for the most recent Fiscal Quarter and annualized).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Fixed Charges</w:t>
      </w:r>
      <w:r>
        <w:rPr>
          <w:rFonts w:ascii="Times New Roman" w:hAnsi="Times New Roman"/>
          <w:sz w:val="20"/>
        </w:rPr>
        <w:t xml:space="preserve">” shall mean, for any period, solely with respect to the Consolidated Entities, the sum of the amounts for such period of (i) scheduled payments of principal of Indebtedness of the Consolidated Entities (other than any Bullet Payment and mandatory reductions of principal associated with any loan modifications, loan extensions or exercise of rights thereunder which are contingent on ratios that would not otherwise be satisfied but for the repayment of principal) to the extent such Indebtedness constitutes Borrowed Indebtedness, (ii) the Consolidated Entities’ pro rata share of scheduled payments of principal of Indebtedness of non-Wholly-Owned Subsidiaries or Joint Ventures (other than any Bullet Payment and mandatory reductions of principal associated with any loan modifications, loan extensions or exercise of rights thereunder which are contingent on ratios that would not otherwise be satisfied but for the repayment of principal) that does not otherwise constitute Indebtedness of and is not otherwise recourse to the Consolidated Entities or their assets to the extent such Indebtedness constitutes Borrowed Indebtedness, (iii) Interest Expense, (iv) dividends in respect of Disqualified Capital Stock that are paid, or are payable, in cash or Cash Equivalents, and (v) to the extent not otherwise included in Interest Expense, dividends and other Distributions that are paid, or are payable, in cash or Cash Equivalents during such period by the Borrower or MAC with respect to preferred stock or preferred operating units (excluding distributions on convertible preferred units of MACWH in accordance with the MACWH Partnership Agreement). For purposes of clauses (ii) and (v), the Consolidated Entities’ pro rata share of payments by any non-Wholly-Owned Subsidiary or Joint Venture shall be deemed equal to the product of (a) the payments made by such Person, multiplied by (b) the percentage of the total outstanding Capital Stock of such Person held by any Consolidated Entity, expressed as a decimal (or the percentage of distributable cash to which the applicable MAC controlled Person is entitled). </w:t>
      </w:r>
    </w:p>
    <w:p>
      <w:pPr>
        <w:pStyle w:val="TextBody"/>
        <w:bidi w:val="0"/>
        <w:spacing w:before="240" w:after="0"/>
        <w:jc w:val="left"/>
        <w:rPr/>
      </w:pPr>
      <w:r>
        <w:rPr/>
        <w:t>“</w:t>
      </w:r>
      <w:r>
        <w:rPr>
          <w:rFonts w:ascii="Times New Roman" w:hAnsi="Times New Roman"/>
          <w:sz w:val="20"/>
          <w:u w:val="single"/>
        </w:rPr>
        <w:t>Flood Insurance</w:t>
      </w:r>
      <w:r>
        <w:rPr>
          <w:rFonts w:ascii="Times New Roman" w:hAnsi="Times New Roman"/>
          <w:sz w:val="20"/>
        </w:rPr>
        <w:t xml:space="preserve">” shall mean, for any improved Mortgaged Property located in a Special Flood Hazard Area, Federal Flood Insurance or private insurance reasonably satisfactory to the Administrative Agent, in either case, that (a) meets the requirements set forth by FEMA in its Mandatory Purchase of Flood Insurance Guidelines, (b) shall include a deductible not to exceed $10,000 and (c) shall have a coverage amount equal to an amount as the Administrative Agent may from time to time require, and otherwise comply with the NFIP. </w:t>
      </w:r>
    </w:p>
    <w:p>
      <w:pPr>
        <w:pStyle w:val="TextBody"/>
        <w:bidi w:val="0"/>
        <w:spacing w:before="240" w:after="0"/>
        <w:jc w:val="left"/>
        <w:rPr/>
      </w:pPr>
      <w:r>
        <w:rPr/>
        <w:t>“</w:t>
      </w:r>
      <w:r>
        <w:rPr>
          <w:rFonts w:ascii="Times New Roman" w:hAnsi="Times New Roman"/>
          <w:sz w:val="20"/>
          <w:u w:val="single"/>
        </w:rPr>
        <w:t>Flood Notice</w:t>
      </w:r>
      <w:r>
        <w:rPr>
          <w:rFonts w:ascii="Times New Roman" w:hAnsi="Times New Roman"/>
          <w:sz w:val="20"/>
        </w:rPr>
        <w:t xml:space="preserve">” shall have the meaning given such term in clause (viii) of the definition of Mortgaged Property Deliverables.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shall mean any Lender or any Issuing Lender that is organized under the laws of a jurisdiction other than that in which the Borrower is located. For purposes of this definition, the United States of America, each State thereof and the District of Columbia shall be deemed to constitute a single jurisdiction. </w:t>
      </w:r>
    </w:p>
    <w:p>
      <w:pPr>
        <w:pStyle w:val="TextBody"/>
        <w:bidi w:val="0"/>
        <w:spacing w:before="240" w:after="0"/>
        <w:jc w:val="left"/>
        <w:rPr/>
      </w:pPr>
      <w:r>
        <w:rPr/>
        <w:t>“</w:t>
      </w:r>
      <w:r>
        <w:rPr>
          <w:rFonts w:ascii="Times New Roman" w:hAnsi="Times New Roman"/>
          <w:sz w:val="20"/>
          <w:u w:val="single"/>
        </w:rPr>
        <w:t>Former Mervyn’s Box</w:t>
      </w:r>
      <w:r>
        <w:rPr>
          <w:rFonts w:ascii="Times New Roman" w:hAnsi="Times New Roman"/>
          <w:sz w:val="20"/>
        </w:rPr>
        <w:t xml:space="preserve">” shall mean the following Real Property which was formerly owned by, or leased to, Mervyn’s: that certain parcel sub-leased to Kohl’s as of the date hereof, located at the shopping center commonly known as “Whittwood Town Center” in Whittier, California, and leased as of the date hereof by Macerich Whittwood Holdings LP, a Delaware limited partnership. </w:t>
      </w:r>
    </w:p>
    <w:p>
      <w:pPr>
        <w:pStyle w:val="TextBody"/>
        <w:bidi w:val="0"/>
        <w:spacing w:before="240" w:after="0"/>
        <w:jc w:val="left"/>
        <w:rPr/>
      </w:pPr>
      <w:r>
        <w:rPr/>
        <w:t>“</w:t>
      </w:r>
      <w:r>
        <w:rPr>
          <w:rFonts w:ascii="Times New Roman" w:hAnsi="Times New Roman"/>
          <w:sz w:val="20"/>
          <w:u w:val="single"/>
        </w:rPr>
        <w:t>Former Mervyn’s Box Borrowing Base Mortgaged Property Asset</w:t>
      </w:r>
      <w:r>
        <w:rPr>
          <w:rFonts w:ascii="Times New Roman" w:hAnsi="Times New Roman"/>
          <w:sz w:val="20"/>
        </w:rPr>
        <w:t xml:space="preserve">” shall mean a Former Mervyn’s Box to the extent constituting a Borrowing Base Mortgaged Property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Fronting Exposure</w:t>
      </w:r>
      <w:r>
        <w:rPr>
          <w:rFonts w:ascii="Times New Roman" w:hAnsi="Times New Roman"/>
          <w:sz w:val="20"/>
        </w:rPr>
        <w:t xml:space="preserve">” shall mean, at any time there is a Defaulting Lender, with respect to each Issuing Lender, such Defaulting Lender’s LC Exposure other than LC Exposure as to which such Defaulting Lender’s participation obligation has been reallocated to other Revolving Lenders or Cash Collateralized in accordance with the terms hereof. </w:t>
      </w:r>
    </w:p>
    <w:p>
      <w:pPr>
        <w:pStyle w:val="TextBody"/>
        <w:bidi w:val="0"/>
        <w:spacing w:before="240" w:after="0"/>
        <w:jc w:val="left"/>
        <w:rPr/>
      </w:pPr>
      <w:r>
        <w:rPr/>
        <w:t>“</w:t>
      </w:r>
      <w:r>
        <w:rPr>
          <w:rFonts w:ascii="Times New Roman" w:hAnsi="Times New Roman"/>
          <w:sz w:val="20"/>
          <w:u w:val="single"/>
        </w:rPr>
        <w:t>Fund</w:t>
      </w:r>
      <w:r>
        <w:rPr>
          <w:rFonts w:ascii="Times New Roman" w:hAnsi="Times New Roman"/>
          <w:sz w:val="20"/>
        </w:rPr>
        <w:t xml:space="preserve">” shall mean any Person (other than a natural Person) that is (or will be) engaged in making, purchasing, holding or otherwise investing in commercial loans, bonds and similar extensions of credit in the ordinary course of its activities.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mean generally accepted accounting principles in the United States of America as in effect on the Closing Date; provided that “GAAP” will exclude (i) the impact of expensing leasing costs which were previously capitalized as a result of changes in lease accounting standards prior to the Original Closing Date and (ii) the impact from mark-to-market and other adjustments to interest expense that are not related to interest expense from loans, including, but not limited to, such amounts in respect of loans made to (i) Chandler Fashion Center, located in Chandler, Arizona and owned as of the Closing Date by TWC Chandler LLC, a Delaware limited liability company, and/or (ii) Freehold Raceway Mall, located in Freehold, New Jersey, and owned as of the Closing Date by Freemall Associates, LLC, a Delaware limited liability company. </w:t>
      </w:r>
    </w:p>
    <w:p>
      <w:pPr>
        <w:pStyle w:val="TextBody"/>
        <w:bidi w:val="0"/>
        <w:spacing w:before="240" w:after="0"/>
        <w:jc w:val="left"/>
        <w:rPr/>
      </w:pPr>
      <w:r>
        <w:rPr/>
        <w:t>“</w:t>
      </w:r>
      <w:r>
        <w:rPr>
          <w:rFonts w:ascii="Times New Roman" w:hAnsi="Times New Roman"/>
          <w:sz w:val="20"/>
          <w:u w:val="single"/>
        </w:rPr>
        <w:t>Good Faith Contest</w:t>
      </w:r>
      <w:r>
        <w:rPr>
          <w:rFonts w:ascii="Times New Roman" w:hAnsi="Times New Roman"/>
          <w:sz w:val="20"/>
        </w:rPr>
        <w:t xml:space="preserve">” shall mean the contest of an item if (1) the item is diligently contested in good faith, and, if appropriate, by proceedings timely instituted, (2) adequate reserves are established if required by, and in accordance with, GAAP with respect to the contested item, (3) during the period of such contest, the enforcement of any contested item is effectively stayed and (4) the failure to pay or comply with the contested item during the period of the contest is not likely to result in a Material Adverse Effect.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shall mean the government of the United States of America or any other nation, or of any political subdivision thereof, whether state or local, and any agency, authority, instrumentality, regulatory body, court, central bank (or similar monetary or regulatory authority)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pPr>
      <w:r>
        <w:rPr/>
        <w:t>“</w:t>
      </w:r>
      <w:r>
        <w:rPr>
          <w:rFonts w:ascii="Times New Roman" w:hAnsi="Times New Roman"/>
          <w:sz w:val="20"/>
          <w:u w:val="single"/>
        </w:rPr>
        <w:t>Gross Leasable Area</w:t>
      </w:r>
      <w:r>
        <w:rPr>
          <w:rFonts w:ascii="Times New Roman" w:hAnsi="Times New Roman"/>
          <w:sz w:val="20"/>
        </w:rPr>
        <w:t xml:space="preserve">” shall mean the total leasable square footage of buildings situated on Real Properties, excluding the square footage of any department stores. </w:t>
      </w:r>
    </w:p>
    <w:p>
      <w:pPr>
        <w:pStyle w:val="TextBody"/>
        <w:bidi w:val="0"/>
        <w:spacing w:before="240" w:after="0"/>
        <w:jc w:val="left"/>
        <w:rPr/>
      </w:pPr>
      <w:r>
        <w:rPr/>
        <w:t>“</w:t>
      </w:r>
      <w:r>
        <w:rPr>
          <w:rFonts w:ascii="Times New Roman" w:hAnsi="Times New Roman"/>
          <w:sz w:val="20"/>
          <w:u w:val="single"/>
        </w:rPr>
        <w:t>Guarantors</w:t>
      </w:r>
      <w:r>
        <w:rPr>
          <w:rFonts w:ascii="Times New Roman" w:hAnsi="Times New Roman"/>
          <w:sz w:val="20"/>
        </w:rPr>
        <w:t xml:space="preserve">” shall mean each of MAC and each Subsidiary Guarantor. </w:t>
      </w:r>
    </w:p>
    <w:p>
      <w:pPr>
        <w:pStyle w:val="TextBody"/>
        <w:bidi w:val="0"/>
        <w:spacing w:before="240" w:after="0"/>
        <w:jc w:val="left"/>
        <w:rPr/>
      </w:pPr>
      <w:r>
        <w:rPr/>
        <w:t>“</w:t>
      </w:r>
      <w:r>
        <w:rPr>
          <w:rFonts w:ascii="Times New Roman" w:hAnsi="Times New Roman"/>
          <w:sz w:val="20"/>
          <w:u w:val="single"/>
        </w:rPr>
        <w:t>Guaranty</w:t>
      </w:r>
      <w:r>
        <w:rPr>
          <w:rFonts w:ascii="Times New Roman" w:hAnsi="Times New Roman"/>
          <w:sz w:val="20"/>
        </w:rPr>
        <w:t xml:space="preserve">” shall mean each of the Subsidiary Guaranty and the REIT Guaranty.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shall mean any flammable materials, explosives, radioactive materials, hazardous wastes, toxic substances or related materials, including, without limitation, any substances defined as or included in the definitions of “hazardous substances,” “hazardous wastes,” “hazardous materials,” or “toxic substances” under any applicable federal, state, or local laws or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Hazardous Materials Claims</w:t>
      </w:r>
      <w:r>
        <w:rPr>
          <w:rFonts w:ascii="Times New Roman" w:hAnsi="Times New Roman"/>
          <w:sz w:val="20"/>
        </w:rPr>
        <w:t xml:space="preserve">” shall mean any enforcement, cleanup, removal or other governmental or regulatory action or order with respect to the Property, pursuant to any Hazardous Materials Laws, and/or any claim asserted in writing by any third party relating to damage, contribution, cost recovery compensation, loss or injury resulting from any Hazardous Materials. </w:t>
      </w:r>
    </w:p>
    <w:p>
      <w:pPr>
        <w:pStyle w:val="TextBody"/>
        <w:bidi w:val="0"/>
        <w:spacing w:before="240" w:after="0"/>
        <w:jc w:val="left"/>
        <w:rPr/>
      </w:pPr>
      <w:r>
        <w:rPr/>
        <w:t>“</w:t>
      </w:r>
      <w:r>
        <w:rPr>
          <w:rFonts w:ascii="Times New Roman" w:hAnsi="Times New Roman"/>
          <w:sz w:val="20"/>
          <w:u w:val="single"/>
        </w:rPr>
        <w:t>Hazardous Materials Laws</w:t>
      </w:r>
      <w:r>
        <w:rPr>
          <w:rFonts w:ascii="Times New Roman" w:hAnsi="Times New Roman"/>
          <w:sz w:val="20"/>
        </w:rPr>
        <w:t xml:space="preserve">” shall mean any applicable federal, state or local laws, ordinances or regulations relating to Hazardous Materials. </w:t>
      </w:r>
    </w:p>
    <w:p>
      <w:pPr>
        <w:pStyle w:val="TextBody"/>
        <w:bidi w:val="0"/>
        <w:spacing w:before="240" w:after="0"/>
        <w:jc w:val="left"/>
        <w:rPr/>
      </w:pPr>
      <w:r>
        <w:rPr/>
        <w:t>“</w:t>
      </w:r>
      <w:r>
        <w:rPr>
          <w:rFonts w:ascii="Times New Roman" w:hAnsi="Times New Roman"/>
          <w:sz w:val="20"/>
          <w:u w:val="single"/>
        </w:rPr>
        <w:t>Hedging Obligations</w:t>
      </w:r>
      <w:r>
        <w:rPr>
          <w:rFonts w:ascii="Times New Roman" w:hAnsi="Times New Roman"/>
          <w:sz w:val="20"/>
        </w:rPr>
        <w:t xml:space="preserve">” of a Person shall mean any and all obligations of such Person or any of its Subsidiaries, whether absolute or contingent and howsoever and whenever created, arising, evidenced or acquired (including all renewals, extensions and modifications thereof and substitutions therefor), under (a) any and all agreements, devices or arrangements designed to protect at least one of the parties thereto from the fluctuations of interest rates, commodity prices, exchange rates or forward rates applicable to such party’s assets, liabilities or exchange transactions, including, but not limited to, dollar-denominated or cross-currency interest rate exchange agreements, forward currency exchange agreements, interest rate cap or collar protection agreements, forward rate currency or interest rate options, puts and warrants, and (b) any and all cancellations, buy backs, reversals, terminations or assignments of any of the foregoing. </w:t>
      </w:r>
    </w:p>
    <w:p>
      <w:pPr>
        <w:pStyle w:val="TextBody"/>
        <w:bidi w:val="0"/>
        <w:spacing w:before="240" w:after="0"/>
        <w:jc w:val="left"/>
        <w:rPr/>
      </w:pPr>
      <w:r>
        <w:rPr/>
        <w:t>“</w:t>
      </w:r>
      <w:r>
        <w:rPr>
          <w:rFonts w:ascii="Times New Roman" w:hAnsi="Times New Roman"/>
          <w:sz w:val="20"/>
          <w:u w:val="single"/>
        </w:rPr>
        <w:t>Implied Cap Rate</w:t>
      </w:r>
      <w:r>
        <w:rPr>
          <w:rFonts w:ascii="Times New Roman" w:hAnsi="Times New Roman"/>
          <w:sz w:val="20"/>
        </w:rPr>
        <w:t xml:space="preserve">” shall mean, with respect to any applicable Real Property as of any date of determination, a percentage equal to the (i) the trailing twelve (12) month Property NOI of such Real Property as reported to the applicable Macerich Entity in connection with the acquisition of such Real Property by such Macerich Entity divided by (ii) the purchase price for such Real Property. </w:t>
      </w:r>
    </w:p>
    <w:p>
      <w:pPr>
        <w:pStyle w:val="TextBody"/>
        <w:bidi w:val="0"/>
        <w:spacing w:before="240" w:after="0"/>
        <w:jc w:val="left"/>
        <w:rPr/>
      </w:pPr>
      <w:r>
        <w:rPr/>
        <w:t>“</w:t>
      </w:r>
      <w:r>
        <w:rPr>
          <w:rFonts w:ascii="Times New Roman" w:hAnsi="Times New Roman"/>
          <w:sz w:val="20"/>
          <w:u w:val="single"/>
        </w:rPr>
        <w:t>Increased Amount Date</w:t>
      </w:r>
      <w:r>
        <w:rPr>
          <w:rFonts w:ascii="Times New Roman" w:hAnsi="Times New Roman"/>
          <w:sz w:val="20"/>
        </w:rPr>
        <w:t xml:space="preserve">” shall have the meaning given such term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of any Person shall mean without duplication, (a) all liabilities and obligations of such Person, whether consolidated or representing the proportionate interest in any other Person, (i) in respect of borrowed money (whether or not the recourse of the lender is to the whole of the assets of such Person or only to a portion thereof, and including construction loans), (ii) evidenced by bonds, notes, debentures or similar instruments, (iii) representing the balance deferred and unpaid of the purchase price of any property or services, except those incurred in the ordinary course of its business that would constitute a trade payable to trade creditors (but specifically excluding from such exception the deferred purchase price of real property), (iv) evidenced by bankers’ acceptances, (v) consisting of obligations, whether or not assumed, secured by Liens or payable out of the proceeds or production from property now or hereafter owned or acquired by such Person (in an amount equal to the lesser of the obligation so secured and the fair market value of such property), (vi) consisting of Capitalized Lease Obligations (including any Capitalized Leases entered into as a part of a sale/leaseback transaction), (vii) consisting of liabilities and obligations under any receivable sales transactions, (viii) consisting of a letter of credit or a reimbursement obligation of such Person with respect to any letter of credit, or (ix) consisting of Net Hedging Obligations, (b) all Contingent Obligations that constitute guarantees by such Person of or other obligations of such Person in respect of Indebtedness of the kind described in the preceding clause (a)</w:t>
      </w:r>
      <w:r>
        <w:rPr>
          <w:rFonts w:ascii="Times New Roman" w:hAnsi="Times New Roman"/>
          <w:color w:val="0000FF"/>
          <w:sz w:val="20"/>
          <w:u w:val="single"/>
          <w:bdr w:val="double" w:sz="2" w:space="1" w:color="000000"/>
        </w:rPr>
        <w:t> (without double-counting the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Contingent Obligation and the underlying Indebtedness))</w:t>
      </w:r>
      <w:r>
        <w:rPr>
          <w:rFonts w:ascii="Times New Roman" w:hAnsi="Times New Roman"/>
          <w:sz w:val="20"/>
        </w:rPr>
        <w:t>, and (c) except to the extent either (x) such obligations are not required to be shown on such Person’s balance sheet in accordance with GAAP or (y) such obligations are not required to be (and the Person to whom such obligations are owed does not have the right to require that such obligations be) satisfied with any consideration other than non-cash consideration in the form of Capital Stock that does not constitute Disqualified Capital Stock</w:t>
      </w:r>
      <w:r>
        <w:rPr>
          <w:rFonts w:ascii="Times New Roman" w:hAnsi="Times New Roman"/>
          <w:color w:val="0000FF"/>
          <w:sz w:val="20"/>
          <w:u w:val="single"/>
          <w:bdr w:val="double" w:sz="2" w:space="1" w:color="000000"/>
        </w:rPr>
        <w:t xml:space="preserve"> or which are payable in cash or Capital Stock, at the option of a Borrower Party</w:t>
      </w:r>
      <w:r>
        <w:rPr>
          <w:rFonts w:ascii="Times New Roman" w:hAnsi="Times New Roman"/>
          <w:sz w:val="20"/>
        </w:rPr>
        <w:t xml:space="preserve">, (i) all obligations to purchase, redeem or acquire for cash or non-cash consideration any Capital Stock or other equity interest and (ii) all obligations of such Person to purchase for cash or non-cash consideration Securities or other property arising out of or in connection with the sale of the same or substantially similar securities or property. For the avoidance of doubt, Indebtedness of any water, sewer, or other improvement district that is payable from assessments or taxes on property located within such district shall not be deemed to be Indebtedness of any Person owning property located within such district; </w:t>
      </w:r>
      <w:r>
        <w:rPr>
          <w:rFonts w:ascii="Times New Roman" w:hAnsi="Times New Roman"/>
          <w:sz w:val="20"/>
          <w:u w:val="single"/>
        </w:rPr>
        <w:t>provided</w:t>
      </w:r>
      <w:r>
        <w:rPr>
          <w:rFonts w:ascii="Times New Roman" w:hAnsi="Times New Roman"/>
          <w:sz w:val="20"/>
        </w:rPr>
        <w:t xml:space="preserve"> that such Person has not otherwise obligated itself in respect of the repayment of such Indebtedness on a recourse basis.</w:t>
      </w:r>
      <w:r>
        <w:rPr>
          <w:rFonts w:ascii="Times New Roman" w:hAnsi="Times New Roman"/>
          <w:color w:val="0000FF"/>
          <w:sz w:val="20"/>
          <w:u w:val="single"/>
          <w:bdr w:val="double" w:sz="2" w:space="1" w:color="000000"/>
        </w:rPr>
        <w:t xml:space="preserve"> Notwithstanding anything to the contrary in this definition, Indebtedness shall not include any Qualified Bond Hedge Transaction or Qualified Warrant Transaction. In the case of a guaranty (whether or not joint and several) of an obligation otherwise constituting Indebtedness of such Person, the amount of such guaranty shall be deemed to be only that amount in excess of the amount of the obligation constituting Indebtedness of such Person.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Liabilities</w:t>
      </w:r>
      <w:r>
        <w:rPr>
          <w:rFonts w:ascii="Times New Roman" w:hAnsi="Times New Roman"/>
          <w:sz w:val="20"/>
        </w:rPr>
        <w:t xml:space="preserve">” shall have the meaning given such term in </w:t>
      </w:r>
      <w:r>
        <w:rPr>
          <w:rFonts w:ascii="Times New Roman" w:hAnsi="Times New Roman"/>
          <w:sz w:val="20"/>
          <w:u w:val="single"/>
        </w:rPr>
        <w:t>Section 11.14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Person</w:t>
      </w:r>
      <w:r>
        <w:rPr>
          <w:rFonts w:ascii="Times New Roman" w:hAnsi="Times New Roman"/>
          <w:sz w:val="20"/>
        </w:rPr>
        <w:t xml:space="preserve">” shall have the meaning given such term in </w:t>
      </w:r>
      <w:r>
        <w:rPr>
          <w:rFonts w:ascii="Times New Roman" w:hAnsi="Times New Roman"/>
          <w:sz w:val="20"/>
          <w:u w:val="single"/>
        </w:rPr>
        <w:t>Section 11.14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shall mean (a) Taxes, other than Excluded Taxes, imposed on or with respect to any payment made by or on account of any obligation of any Borrower Party under any Loan Document and (b) to the extent not otherwise described in clause (a), Other Taxes. </w:t>
      </w:r>
    </w:p>
    <w:p>
      <w:pPr>
        <w:pStyle w:val="TextBody"/>
        <w:bidi w:val="0"/>
        <w:spacing w:before="240" w:after="0"/>
        <w:jc w:val="left"/>
        <w:rPr/>
      </w:pPr>
      <w:r>
        <w:rPr/>
        <w:t>“</w:t>
      </w:r>
      <w:r>
        <w:rPr>
          <w:rFonts w:ascii="Times New Roman" w:hAnsi="Times New Roman"/>
          <w:sz w:val="20"/>
          <w:u w:val="single"/>
        </w:rPr>
        <w:t>Index Floor</w:t>
      </w:r>
      <w:r>
        <w:rPr>
          <w:rFonts w:ascii="Times New Roman" w:hAnsi="Times New Roman"/>
          <w:sz w:val="20"/>
        </w:rPr>
        <w:t xml:space="preserve">” shall mean 0.25% per annum. </w:t>
      </w:r>
    </w:p>
    <w:p>
      <w:pPr>
        <w:pStyle w:val="TextBody"/>
        <w:bidi w:val="0"/>
        <w:spacing w:before="240" w:after="0"/>
        <w:jc w:val="left"/>
        <w:rPr/>
      </w:pPr>
      <w:r>
        <w:rPr/>
        <w:t>“</w:t>
      </w:r>
      <w:r>
        <w:rPr>
          <w:rFonts w:ascii="Times New Roman" w:hAnsi="Times New Roman"/>
          <w:sz w:val="20"/>
          <w:u w:val="single"/>
        </w:rPr>
        <w:t>Initial Financial Statements</w:t>
      </w:r>
      <w:r>
        <w:rPr>
          <w:rFonts w:ascii="Times New Roman" w:hAnsi="Times New Roman"/>
          <w:sz w:val="20"/>
        </w:rPr>
        <w:t>” shall have the meaning given such term in</w:t>
      </w:r>
      <w:r>
        <w:rPr>
          <w:rFonts w:ascii="Times New Roman" w:hAnsi="Times New Roman"/>
          <w:sz w:val="20"/>
          <w:u w:val="single"/>
        </w:rPr>
        <w:t xml:space="preserve"> 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Initial Revolving Commitment Termination Date</w:t>
      </w:r>
      <w:r>
        <w:rPr>
          <w:rFonts w:ascii="Times New Roman" w:hAnsi="Times New Roman"/>
          <w:sz w:val="20"/>
        </w:rPr>
        <w:t xml:space="preserve">” shall mean March 1, 2029. </w:t>
      </w:r>
    </w:p>
    <w:p>
      <w:pPr>
        <w:pStyle w:val="TextBody"/>
        <w:bidi w:val="0"/>
        <w:spacing w:before="240" w:after="0"/>
        <w:jc w:val="left"/>
        <w:rPr/>
      </w:pPr>
      <w:r>
        <w:rPr/>
        <w:t>“</w:t>
      </w:r>
      <w:r>
        <w:rPr>
          <w:rFonts w:ascii="Times New Roman" w:hAnsi="Times New Roman"/>
          <w:sz w:val="20"/>
          <w:u w:val="single"/>
        </w:rPr>
        <w:t>Interest Determination Date</w:t>
      </w:r>
      <w:r>
        <w:rPr>
          <w:rFonts w:ascii="Times New Roman" w:hAnsi="Times New Roman"/>
          <w:sz w:val="20"/>
        </w:rPr>
        <w:t xml:space="preserve">” shall mean, (i) with respect to each Interest Period that occurs while a Loan is a Term SOFR Loan, the date that is two (2) U.S. Government Securities Business Days prior to the first day of the applicable Interest Period, and (ii) with respect to any Interest Period that occurs while a Loan is an Alternate Rate Loan, the date that is two (2) U.S. Government Securities Business Days prior to the first day of the applicable Interest Period (or the time determined by the Administrative Agent in accordance with the Conforming Changes). </w:t>
      </w:r>
    </w:p>
    <w:p>
      <w:pPr>
        <w:pStyle w:val="TextBody"/>
        <w:bidi w:val="0"/>
        <w:spacing w:before="240" w:after="0"/>
        <w:jc w:val="left"/>
        <w:rPr/>
      </w:pPr>
      <w:r>
        <w:rPr/>
        <w:t>“</w:t>
      </w:r>
      <w:r>
        <w:rPr>
          <w:rFonts w:ascii="Times New Roman" w:hAnsi="Times New Roman"/>
          <w:sz w:val="20"/>
          <w:u w:val="single"/>
        </w:rPr>
        <w:t>Interest Expense</w:t>
      </w:r>
      <w:r>
        <w:rPr>
          <w:rFonts w:ascii="Times New Roman" w:hAnsi="Times New Roman"/>
          <w:sz w:val="20"/>
        </w:rPr>
        <w:t xml:space="preserve">” shall mean, for any period, solely with respect to the Consolidated Entities, the sum (without duplication) for such period of: (i) total interest expense, whether paid or accrued, of the Consolidated Entities, including fees payable in connection with the Loan Documents, charges in respect of letters of credit and the portion of any Capitalized Lease Obligations allocable to interest expense, including the Consolidated Entities’ share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expenses in non-Wholly-Owned Subsidiaries and Joint Ventures but excluding amortization or write-off of debt discount and expense (except as provided in clause (ii) below), giving effect to interest rate protection and hedging contracts, (ii) amortization of costs related to interest rate protection contracts and rate buydowns (other than the costs associated with the interest rate buydowns completed in connection with the initial public offering of MAC), (iii) capitalized interest,</w:t>
      </w:r>
      <w:r>
        <w:rPr>
          <w:rFonts w:ascii="Times New Roman" w:hAnsi="Times New Roman"/>
          <w:sz w:val="20"/>
          <w:u w:val="single"/>
        </w:rPr>
        <w:t xml:space="preserve"> provided</w:t>
      </w:r>
      <w:r>
        <w:rPr>
          <w:rFonts w:ascii="Times New Roman" w:hAnsi="Times New Roman"/>
          <w:sz w:val="20"/>
        </w:rPr>
        <w:t xml:space="preserve"> that capitalized interest may be excluded from this clause (iii) to the extent (A) such interest is paid or reserved out of any interest reserve established under a loan facility; or (B) consists of interest imputed under GAAP in respect of ongoing construction activities, but only to the extent such interest has not actually been paid, and the amount thereof does not exceed $40,000,000, (iv) for purposes of determining Interest Expense as used in the Fixed Charge Coverage Ratio (both numerator and denominator) only, amortization of Capitalized Loan Fees, (v) to the extent not included in clauses (i), (ii), (iii) and (iv), any Consolidated Entities’ pro rata share of interest expense and other amounts of the type referred to in such clauses of non-Wholly-Owned Subsidiaries and Joint Ventures, and (vi) interest incurred on any liability or obligation that constitutes a Contingent Obligation of any Consolidated Entity; </w:t>
      </w:r>
      <w:r>
        <w:rPr>
          <w:rFonts w:ascii="Times New Roman" w:hAnsi="Times New Roman"/>
          <w:sz w:val="20"/>
          <w:u w:val="single"/>
        </w:rPr>
        <w:t>provided</w:t>
      </w:r>
      <w:r>
        <w:rPr>
          <w:rFonts w:ascii="Times New Roman" w:hAnsi="Times New Roman"/>
          <w:sz w:val="20"/>
        </w:rPr>
        <w:t xml:space="preserve"> that during any period that a Retail/Other Property is subject to a Specified Change of Control Event, the accrued and unpaid interest with respect to Indebtedness incurred in respect of such Retail/Other Property shall also be excluded from Interest Expense. For purposes of clause (v), any Consolidated Entities’ pro rata share of interest expense or other amount of any non-Wholly-Owned Subsidiary or Joint Venture shall be deemed equal to the product of (a) the interest expense or other relevant amount of such Person, multiplied by (b) the percentage of the total outstanding Capital Stock of such Person held by any Consolidated Entity, expressed as a decimal (or the percentage of distributable cash to which the applicable MAC controlled Person is entitled). For the avoidance of doubt, all net payments received from interest rate protection and/or hedging counterparties on interest rate swaps, caps and similar instruments shall be netted from the calculation and all such payments made to such counterparties shall be included in the calculation of Interest Expense.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(a) for any Base Rate Borrowing, the period commencing on the date of such borrowing and ending on the last day of the calendar month in which made; </w:t>
      </w:r>
      <w:r>
        <w:rPr>
          <w:rFonts w:ascii="Times New Roman" w:hAnsi="Times New Roman"/>
          <w:sz w:val="20"/>
          <w:u w:val="single"/>
        </w:rPr>
        <w:t>provided</w:t>
      </w:r>
      <w:r>
        <w:rPr>
          <w:rFonts w:ascii="Times New Roman" w:hAnsi="Times New Roman"/>
          <w:sz w:val="20"/>
        </w:rPr>
        <w:t xml:space="preserve">, that if any Base Rate Borrowing is converted to a Term SOFR Borrowing, the applicable Base Rate Interest Period shall end on such date; </w:t>
      </w:r>
    </w:p>
    <w:p>
      <w:pPr>
        <w:pStyle w:val="TextBody"/>
        <w:bidi w:val="0"/>
        <w:spacing w:before="120" w:after="0"/>
        <w:jc w:val="left"/>
        <w:rPr>
          <w:rFonts w:ascii="Times New Roman" w:hAnsi="Times New Roman"/>
          <w:sz w:val="20"/>
        </w:rPr>
      </w:pPr>
      <w:r>
        <w:rPr>
          <w:rFonts w:ascii="Times New Roman" w:hAnsi="Times New Roman"/>
          <w:sz w:val="20"/>
        </w:rPr>
        <w:t xml:space="preserve">(b) for any Term SOFR Loan, the period commencing on the date of such Loan and ending on the numerically corresponding day in the calendar month that is one, three or six months thereafter, as specified in the applicable Borrowing Request or Rate Request; and </w:t>
      </w:r>
    </w:p>
    <w:p>
      <w:pPr>
        <w:pStyle w:val="TextBody"/>
        <w:bidi w:val="0"/>
        <w:spacing w:before="120" w:after="0"/>
        <w:jc w:val="left"/>
        <w:rPr>
          <w:rFonts w:ascii="Times New Roman" w:hAnsi="Times New Roman"/>
          <w:sz w:val="20"/>
        </w:rPr>
      </w:pPr>
      <w:r>
        <w:rPr>
          <w:rFonts w:ascii="Times New Roman" w:hAnsi="Times New Roman"/>
          <w:sz w:val="20"/>
        </w:rPr>
        <w:t xml:space="preserve">(c) for any Alternate Rate Loan, the period commencing on the date of such Loan and ending on the date determined by the Administrative Agent in accordance with the Conforming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that (i) if any Interest Period would end on a day other than a Business Day, such Interest Period shall be extended to the next succeeding Business Day unless, in the case of a Term SOFR Borrowing only, such next succeeding Business Day would fall in the next calendar month, in which case such Interest Period shall end on the next preceding Business Day and (ii) any Interest Period pertaining to a Term SOFR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shall mean, with respect to any Person, (i) any purchase or other acquisition by that Person of Securities, or of a beneficial interest in Securities, issued by any other Person, (ii) any purchase by that Person of a Property or the assets of a business conducted by another Person, and (iii) any loan (other than loans to employees), advance (other than deposits with financial institutions available for withdrawal on demand, prepaid expenses, accounts receivable, advances to employees and similar items made or incurred in the ordinary course of business) or capital contribution by that Person to any other Person, including, without limitation, all Indebtedness to such Person arising from a sale of property by such Person other than in the ordinary course of its business. “Investment” shall not include (a) any promissory notes or other consideration paid to it or by a tenant or other occupant in connection with Project leasing and operating activities, (b) any purchase or other acquisition of Securities of, or a loan, advance or capital contribution (including of assets) to, a Macerich Entity by another Macerich Entity in the ordinary course of business (including in connection with internal reorganizations and/or restructurings of the Macerich Entities) or to effect a Permitted Investment</w:t>
      </w:r>
      <w:r>
        <w:rPr>
          <w:rFonts w:ascii="Times New Roman" w:hAnsi="Times New Roman"/>
          <w:strike/>
          <w:color w:val="FF0000"/>
          <w:sz w:val="20"/>
        </w:rPr>
        <w:t xml:space="preserve"> or</w:t>
      </w:r>
      <w:r>
        <w:rPr>
          <w:rFonts w:ascii="Times New Roman" w:hAnsi="Times New Roman"/>
          <w:sz w:val="20"/>
        </w:rPr>
        <w:t>, (c</w:t>
      </w:r>
      <w:r>
        <w:rPr>
          <w:rFonts w:ascii="Times New Roman" w:hAnsi="Times New Roman"/>
          <w:color w:val="0000FF"/>
          <w:sz w:val="20"/>
          <w:u w:val="single"/>
          <w:bdr w:val="double" w:sz="2" w:space="1" w:color="000000"/>
        </w:rPr>
        <w:t>) any entry into and any unwind, settlement or termination of any Qualified Bond Hedge Transaction or Qualified Warrant Transaction, and any payment in relation thereto, or (d</w:t>
      </w:r>
      <w:r>
        <w:rPr>
          <w:rFonts w:ascii="Times New Roman" w:hAnsi="Times New Roman"/>
          <w:sz w:val="20"/>
        </w:rPr>
        <w:t xml:space="preserve">) any redemption, repurchase and/or exchange obligations in respect of any Capital Stock of any Macerich Entity otherwise undertaken in accordance herewith. The amount of any Investment shall be the original cost of such Investment, plus the cost of all additions thereto less the amount of any return of capital or principal to the extent such return is in cash with respect to such Investment without any adjustments for increases or decreases in value or write-ups, write-downs or write-offs with respect to such Investment. Notwithstanding the foregoing, Investments shall not include any promissory notes (and related instruments) received by a Person in connection with a Disposition.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United States Internal Revenue Service. </w:t>
      </w:r>
    </w:p>
    <w:p>
      <w:pPr>
        <w:pStyle w:val="TextBody"/>
        <w:bidi w:val="0"/>
        <w:spacing w:before="240" w:after="0"/>
        <w:jc w:val="left"/>
        <w:rPr/>
      </w:pPr>
      <w:r>
        <w:rPr/>
        <w:t>“</w:t>
      </w:r>
      <w:r>
        <w:rPr>
          <w:rFonts w:ascii="Times New Roman" w:hAnsi="Times New Roman"/>
          <w:sz w:val="20"/>
          <w:u w:val="single"/>
        </w:rPr>
        <w:t>Issuing Lender</w:t>
      </w:r>
      <w:r>
        <w:rPr>
          <w:rFonts w:ascii="Times New Roman" w:hAnsi="Times New Roman"/>
          <w:sz w:val="20"/>
        </w:rPr>
        <w:t xml:space="preserve">” shall mean (i) DBNY, JPMorgan Chase Bank, N.A. and Goldman Sachs Bank USA, each in its capacity as an issuer of Letters of Credit hereunder and (ii) each other Revolving Lender or Affiliate of a Revolving Lender that is designated, with the consent of such Revolving Lender or Affiliate, as applicable, the Borrower, and the Administrative Agent, as an issuer of Letters of Credit hereunder, together with their respective successors in such capacity. </w:t>
      </w:r>
    </w:p>
    <w:p>
      <w:pPr>
        <w:pStyle w:val="TextBody"/>
        <w:bidi w:val="0"/>
        <w:spacing w:before="240" w:after="0"/>
        <w:jc w:val="left"/>
        <w:rPr/>
      </w:pPr>
      <w:r>
        <w:rPr/>
        <w:t>“</w:t>
      </w:r>
      <w:r>
        <w:rPr>
          <w:rFonts w:ascii="Times New Roman" w:hAnsi="Times New Roman"/>
          <w:sz w:val="20"/>
          <w:u w:val="single"/>
        </w:rPr>
        <w:t>Joinder Agreement</w:t>
      </w:r>
      <w:r>
        <w:rPr>
          <w:rFonts w:ascii="Times New Roman" w:hAnsi="Times New Roman"/>
          <w:sz w:val="20"/>
        </w:rPr>
        <w:t>” shall mean a Joinder Agreement substantially in the form of</w:t>
      </w:r>
      <w:r>
        <w:rPr>
          <w:rFonts w:ascii="Times New Roman" w:hAnsi="Times New Roman"/>
          <w:sz w:val="20"/>
          <w:u w:val="single"/>
        </w:rPr>
        <w:t xml:space="preserve"> Exhibit</w:t>
      </w:r>
      <w:r>
        <w:rPr>
          <w:rFonts w:ascii="Times New Roman" w:hAnsi="Times New Roman"/>
          <w:sz w:val="20"/>
        </w:rPr>
        <w:t xml:space="preserve"> K. </w:t>
      </w:r>
    </w:p>
    <w:p>
      <w:pPr>
        <w:pStyle w:val="TextBody"/>
        <w:bidi w:val="0"/>
        <w:spacing w:before="240" w:after="0"/>
        <w:jc w:val="left"/>
        <w:rPr/>
      </w:pPr>
      <w:r>
        <w:rPr/>
        <w:t>“</w:t>
      </w:r>
      <w:r>
        <w:rPr>
          <w:rFonts w:ascii="Times New Roman" w:hAnsi="Times New Roman"/>
          <w:sz w:val="20"/>
          <w:u w:val="single"/>
        </w:rPr>
        <w:t>Joint Lead Arrangers</w:t>
      </w:r>
      <w:r>
        <w:rPr>
          <w:rFonts w:ascii="Times New Roman" w:hAnsi="Times New Roman"/>
          <w:sz w:val="20"/>
        </w:rPr>
        <w:t xml:space="preserve">” shall mean Deutsche Bank Securities Inc., JPMorgan Chase Bank, N.A., Goldman Sachs Bank USA, BMO Capital Markets Corp., TD Securities (USA) LLC and Morgan Stanley Senior Funding, Inc. in their respective capacities as joint lead arrangers and joint book runners for the credit facility evidenced by this Agreement, together with their respective permitted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Joint Venture</w:t>
      </w:r>
      <w:r>
        <w:rPr>
          <w:rFonts w:ascii="Times New Roman" w:hAnsi="Times New Roman"/>
          <w:sz w:val="20"/>
        </w:rPr>
        <w:t xml:space="preserve">” shall mean, as to any Person: (i) any corporation fifty percent (50%) or less of the outstanding securities having ordinary voting power of which shall at the time be owned or controlled, directly or indirectly, by such Person or by one or more of its Subsidiaries or by such Person and one or more of its Subsidiaries, or (ii) any partnership, limited liability company, association, joint venture or similar business organization fifty percent (50%) or less of the ownership interests having ordinary voting power of which shall at the time be so owned or controlled. Notwithstanding the foregoing, a Joint Venture of MAC shall include each Person, other than a Subsidiary, in which MAC owns a direct or indirect equity interest. Unless otherwise expressly provided, all references in the Loan Documents to a “Joint Venture” shall mean a Joint Venture of MAC. </w:t>
      </w:r>
    </w:p>
    <w:p>
      <w:pPr>
        <w:pStyle w:val="TextBody"/>
        <w:bidi w:val="0"/>
        <w:spacing w:before="240" w:after="0"/>
        <w:jc w:val="left"/>
        <w:rPr/>
      </w:pPr>
      <w:r>
        <w:rPr/>
        <w:t>“</w:t>
      </w:r>
      <w:r>
        <w:rPr>
          <w:rFonts w:ascii="Times New Roman" w:hAnsi="Times New Roman"/>
          <w:sz w:val="20"/>
          <w:u w:val="single"/>
        </w:rPr>
        <w:t>LC Collateral Account</w:t>
      </w:r>
      <w:r>
        <w:rPr>
          <w:rFonts w:ascii="Times New Roman" w:hAnsi="Times New Roman"/>
          <w:sz w:val="20"/>
        </w:rPr>
        <w:t>” shall have the meaning given such term in</w:t>
      </w:r>
      <w:r>
        <w:rPr>
          <w:rFonts w:ascii="Times New Roman" w:hAnsi="Times New Roman"/>
          <w:sz w:val="20"/>
          <w:u w:val="single"/>
        </w:rPr>
        <w:t xml:space="preserve"> Section 1.4(11)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LC Commitment Expiry Date</w:t>
      </w:r>
      <w:r>
        <w:rPr>
          <w:rFonts w:ascii="Times New Roman" w:hAnsi="Times New Roman"/>
          <w:sz w:val="20"/>
        </w:rPr>
        <w:t>” shall have the meaning given such term in</w:t>
      </w:r>
      <w:r>
        <w:rPr>
          <w:rFonts w:ascii="Times New Roman" w:hAnsi="Times New Roman"/>
          <w:sz w:val="20"/>
          <w:u w:val="single"/>
        </w:rPr>
        <w:t xml:space="preserve"> Section</w:t>
      </w:r>
      <w:r>
        <w:rPr>
          <w:rFonts w:ascii="Times New Roman" w:hAnsi="Times New Roman"/>
          <w:sz w:val="20"/>
        </w:rPr>
        <w:t xml:space="preserve"> 1.4(1).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shall mean a payment made by an Issuing Lender pursuant to a Letter of Credit.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shall mean, at any time, the sum of (a) the aggregate undrawn amount of all outstanding Letters of Credit at such time</w:t>
      </w:r>
      <w:r>
        <w:rPr>
          <w:rFonts w:ascii="Times New Roman" w:hAnsi="Times New Roman"/>
          <w:sz w:val="20"/>
          <w:u w:val="single"/>
        </w:rPr>
        <w:t xml:space="preserve"> plus</w:t>
      </w:r>
      <w:r>
        <w:rPr>
          <w:rFonts w:ascii="Times New Roman" w:hAnsi="Times New Roman"/>
          <w:sz w:val="20"/>
        </w:rPr>
        <w:t xml:space="preserve"> (b) the aggregate amount of all LC Disbursements that have not yet been reimbursed by or on behalf of the Borrower at such time. The LC Exposure of any Revolving Lender at any time shall be its Applicable Revolving Percentage of the total LC Exposure at such time. </w:t>
      </w:r>
    </w:p>
    <w:p>
      <w:pPr>
        <w:pStyle w:val="TextBody"/>
        <w:bidi w:val="0"/>
        <w:spacing w:before="240" w:after="0"/>
        <w:jc w:val="left"/>
        <w:rPr/>
      </w:pPr>
      <w:r>
        <w:rPr/>
        <w:t>“</w:t>
      </w:r>
      <w:r>
        <w:rPr>
          <w:rFonts w:ascii="Times New Roman" w:hAnsi="Times New Roman"/>
          <w:sz w:val="20"/>
          <w:u w:val="single"/>
        </w:rPr>
        <w:t>Lender Parties</w:t>
      </w:r>
      <w:r>
        <w:rPr>
          <w:rFonts w:ascii="Times New Roman" w:hAnsi="Times New Roman"/>
          <w:sz w:val="20"/>
        </w:rPr>
        <w:t>” shall have the meaning given such term in</w:t>
      </w:r>
      <w:r>
        <w:rPr>
          <w:rFonts w:ascii="Times New Roman" w:hAnsi="Times New Roman"/>
          <w:sz w:val="20"/>
          <w:u w:val="single"/>
        </w:rPr>
        <w:t xml:space="preserve"> Section 11.20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shall mean each of the lenders from time to time party to this Agreement (whether as a direct signatory thereto or as a signatory to a Joinder Agreement), including any Assignee permitted pursuant to </w:t>
      </w:r>
      <w:r>
        <w:rPr>
          <w:rFonts w:ascii="Times New Roman" w:hAnsi="Times New Roman"/>
          <w:sz w:val="20"/>
          <w:u w:val="single"/>
        </w:rPr>
        <w:t>Section 11.8</w:t>
      </w:r>
      <w:r>
        <w:rPr>
          <w:rFonts w:ascii="Times New Roman" w:hAnsi="Times New Roman"/>
          <w:sz w:val="20"/>
        </w:rPr>
        <w:t xml:space="preserve">. Unless the context requires otherwise, the term “Lenders” includes each Issuing Lender.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shall mean any standby letter of credit issued pursuant to this Agreement. For the avoidance of doubt, each Existing Letter of Credit shall be deemed to be a Letter of Credit issued pursuant to this Agreement by DBNY, in its capacity as an Issuing Lender for the account of the Borrower from and after the Original Closing Date.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shall mean, as to any Issuing Lender, (i) the amount set forth opposite such Issuing Lender’s name on </w:t>
      </w:r>
      <w:r>
        <w:rPr>
          <w:rFonts w:ascii="Times New Roman" w:hAnsi="Times New Roman"/>
          <w:sz w:val="20"/>
          <w:u w:val="single"/>
        </w:rPr>
        <w:t>Schedule II</w:t>
      </w:r>
      <w:r>
        <w:rPr>
          <w:rFonts w:ascii="Times New Roman" w:hAnsi="Times New Roman"/>
          <w:sz w:val="20"/>
        </w:rPr>
        <w:t xml:space="preserve"> or (ii) if such Issuing Lender has entered into an Assignment and Acceptance Agreement that has been consented to by MAC and the Administrative Agent, the amount set forth for such Issuing Lender as its Letter of Credit Commitment in the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Letter of Credit Fee</w:t>
      </w:r>
      <w:r>
        <w:rPr>
          <w:rFonts w:ascii="Times New Roman" w:hAnsi="Times New Roman"/>
          <w:sz w:val="20"/>
        </w:rPr>
        <w:t>” shall have the meaning given such term in</w:t>
      </w:r>
      <w:r>
        <w:rPr>
          <w:rFonts w:ascii="Times New Roman" w:hAnsi="Times New Roman"/>
          <w:sz w:val="20"/>
          <w:u w:val="single"/>
        </w:rPr>
        <w:t xml:space="preserve"> Section 2.11(2)(A)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Request</w:t>
      </w:r>
      <w:r>
        <w:rPr>
          <w:rFonts w:ascii="Times New Roman" w:hAnsi="Times New Roman"/>
          <w:sz w:val="20"/>
        </w:rPr>
        <w:t>” shall have the meaning given such term in</w:t>
      </w:r>
      <w:r>
        <w:rPr>
          <w:rFonts w:ascii="Times New Roman" w:hAnsi="Times New Roman"/>
          <w:sz w:val="20"/>
          <w:u w:val="single"/>
        </w:rPr>
        <w:t xml:space="preserve"> Section 1.4(2)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shall mean any security interest, mortgage, pledge, lien, claim on property, charge or encumbrance (including any conditional sale or other title retention agreement), any lease in the nature thereof, and any agreement to give any security interest.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shall mean Revolving Loans.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shall mean this Agreement, each Joinder Agreement, if any, the Notes, each Guaranty, the Security Documents, the Environmental Indemnity Agreement and each other instrument, certificate or agreement executed by any Borrower Party in connection herewith, as any of the same may be Modified from time to time. </w:t>
      </w:r>
    </w:p>
    <w:p>
      <w:pPr>
        <w:pStyle w:val="TextBody"/>
        <w:bidi w:val="0"/>
        <w:spacing w:before="240" w:after="0"/>
        <w:jc w:val="left"/>
        <w:rPr/>
      </w:pPr>
      <w:r>
        <w:rPr/>
        <w:t>“</w:t>
      </w:r>
      <w:r>
        <w:rPr>
          <w:rFonts w:ascii="Times New Roman" w:hAnsi="Times New Roman"/>
          <w:sz w:val="20"/>
          <w:u w:val="single"/>
        </w:rPr>
        <w:t>MAC</w:t>
      </w:r>
      <w:r>
        <w:rPr>
          <w:rFonts w:ascii="Times New Roman" w:hAnsi="Times New Roman"/>
          <w:sz w:val="20"/>
        </w:rPr>
        <w:t xml:space="preserve">” shall have the meaning given such term in the preamble to this Agreement. </w:t>
      </w:r>
    </w:p>
    <w:p>
      <w:pPr>
        <w:pStyle w:val="TextBody"/>
        <w:bidi w:val="0"/>
        <w:spacing w:before="240" w:after="0"/>
        <w:jc w:val="left"/>
        <w:rPr/>
      </w:pPr>
      <w:r>
        <w:rPr/>
        <w:t>“</w:t>
      </w:r>
      <w:r>
        <w:rPr>
          <w:rFonts w:ascii="Times New Roman" w:hAnsi="Times New Roman"/>
          <w:sz w:val="20"/>
          <w:u w:val="single"/>
        </w:rPr>
        <w:t>Macerich Core Entities</w:t>
      </w:r>
      <w:r>
        <w:rPr>
          <w:rFonts w:ascii="Times New Roman" w:hAnsi="Times New Roman"/>
          <w:sz w:val="20"/>
        </w:rPr>
        <w:t xml:space="preserve">” shall mean collectively, (i) the Consolidated Entities, and (ii) any Joint Venture in which any Consolidated Entity is a general partner or in which any Consolidated Entity owns more than 50% of the Capital Stock. </w:t>
      </w:r>
    </w:p>
    <w:p>
      <w:pPr>
        <w:pStyle w:val="TextBody"/>
        <w:bidi w:val="0"/>
        <w:spacing w:before="240" w:after="0"/>
        <w:jc w:val="left"/>
        <w:rPr/>
      </w:pPr>
      <w:r>
        <w:rPr/>
        <w:t>“</w:t>
      </w:r>
      <w:r>
        <w:rPr>
          <w:rFonts w:ascii="Times New Roman" w:hAnsi="Times New Roman"/>
          <w:sz w:val="20"/>
          <w:u w:val="single"/>
        </w:rPr>
        <w:t>Macerich Entities</w:t>
      </w:r>
      <w:r>
        <w:rPr>
          <w:rFonts w:ascii="Times New Roman" w:hAnsi="Times New Roman"/>
          <w:sz w:val="20"/>
        </w:rPr>
        <w:t xml:space="preserve">” shall mean the Borrower Parties, and all Subsidiary Entities of the Borrower Parties. </w:t>
      </w:r>
    </w:p>
    <w:p>
      <w:pPr>
        <w:pStyle w:val="TextBody"/>
        <w:bidi w:val="0"/>
        <w:spacing w:before="240" w:after="0"/>
        <w:jc w:val="left"/>
        <w:rPr/>
      </w:pPr>
      <w:r>
        <w:rPr/>
        <w:t>“</w:t>
      </w:r>
      <w:r>
        <w:rPr>
          <w:rFonts w:ascii="Times New Roman" w:hAnsi="Times New Roman"/>
          <w:sz w:val="20"/>
          <w:u w:val="single"/>
        </w:rPr>
        <w:t>Macerich Entity</w:t>
      </w:r>
      <w:r>
        <w:rPr>
          <w:rFonts w:ascii="Times New Roman" w:hAnsi="Times New Roman"/>
          <w:sz w:val="20"/>
        </w:rPr>
        <w:t xml:space="preserve">” shall mean any one of the Macerich Entities. </w:t>
      </w:r>
    </w:p>
    <w:p>
      <w:pPr>
        <w:pStyle w:val="TextBody"/>
        <w:bidi w:val="0"/>
        <w:spacing w:before="240" w:after="0"/>
        <w:jc w:val="left"/>
        <w:rPr/>
      </w:pPr>
      <w:r>
        <w:rPr/>
        <w:t>“</w:t>
      </w:r>
      <w:r>
        <w:rPr>
          <w:rFonts w:ascii="Times New Roman" w:hAnsi="Times New Roman"/>
          <w:sz w:val="20"/>
          <w:u w:val="single"/>
        </w:rPr>
        <w:t>MACWH</w:t>
      </w:r>
      <w:r>
        <w:rPr>
          <w:rFonts w:ascii="Times New Roman" w:hAnsi="Times New Roman"/>
          <w:sz w:val="20"/>
        </w:rPr>
        <w:t xml:space="preserve">” shall mean MACWH, LP, a Delaware limited partnership. </w:t>
      </w:r>
    </w:p>
    <w:p>
      <w:pPr>
        <w:pStyle w:val="TextBody"/>
        <w:bidi w:val="0"/>
        <w:spacing w:before="240" w:after="0"/>
        <w:jc w:val="left"/>
        <w:rPr/>
      </w:pPr>
      <w:r>
        <w:rPr/>
        <w:t>“</w:t>
      </w:r>
      <w:r>
        <w:rPr>
          <w:rFonts w:ascii="Times New Roman" w:hAnsi="Times New Roman"/>
          <w:sz w:val="20"/>
          <w:u w:val="single"/>
        </w:rPr>
        <w:t>MACWH Partnership Agreement</w:t>
      </w:r>
      <w:r>
        <w:rPr>
          <w:rFonts w:ascii="Times New Roman" w:hAnsi="Times New Roman"/>
          <w:sz w:val="20"/>
        </w:rPr>
        <w:t xml:space="preserve">” shall mean the 2005 Amended and Restated Agreement of Limited Partnership of MACWH, dated as of April 25. 2005, by and between Walleye Retail Investments LLC, a Delaware limited liability company (as successor to MACWPI Corp., a Delaware corporation), as general partner, and certain limited partners party thereto from time to time, as the same may be amended, modified and/or supplement from time to time. </w:t>
      </w:r>
    </w:p>
    <w:p>
      <w:pPr>
        <w:pStyle w:val="TextBody"/>
        <w:bidi w:val="0"/>
        <w:spacing w:before="240" w:after="0"/>
        <w:jc w:val="left"/>
        <w:rPr/>
      </w:pPr>
      <w:r>
        <w:rPr/>
        <w:t>“</w:t>
      </w:r>
      <w:r>
        <w:rPr>
          <w:rFonts w:ascii="Times New Roman" w:hAnsi="Times New Roman"/>
          <w:sz w:val="20"/>
          <w:u w:val="single"/>
        </w:rPr>
        <w:t>Management Companies</w:t>
      </w:r>
      <w:r>
        <w:rPr>
          <w:rFonts w:ascii="Times New Roman" w:hAnsi="Times New Roman"/>
          <w:sz w:val="20"/>
        </w:rPr>
        <w:t xml:space="preserve">” shall mean Macerich Property Management Company, LLC a Delaware limited liability company, Macerich Management Company, a California corporation, Macerich Arizona Partners, LLC, an Arizona limited liability company, Macerich Partners of Colorado LLC, a Colorado limited liability company, Macerich Arizona Management LLC, a Delaware limited liability company, MACW Property Management, LLC, a New York limited liability company, and MACW Mall Management, Inc., a New York corporation, and includes their respective successors. </w:t>
      </w:r>
    </w:p>
    <w:p>
      <w:pPr>
        <w:pStyle w:val="TextBody"/>
        <w:bidi w:val="0"/>
        <w:spacing w:before="240" w:after="0"/>
        <w:jc w:val="left"/>
        <w:rPr/>
      </w:pPr>
      <w:r>
        <w:rPr/>
        <w:t>“</w:t>
      </w:r>
      <w:r>
        <w:rPr>
          <w:rFonts w:ascii="Times New Roman" w:hAnsi="Times New Roman"/>
          <w:sz w:val="20"/>
          <w:u w:val="single"/>
        </w:rPr>
        <w:t>Management Contracts</w:t>
      </w:r>
      <w:r>
        <w:rPr>
          <w:rFonts w:ascii="Times New Roman" w:hAnsi="Times New Roman"/>
          <w:sz w:val="20"/>
        </w:rPr>
        <w:t xml:space="preserve">” shall mean any contract between any Management Company, on the one hand, and any other Macerich Entity, on the other hand, relating to the management of any Macerich Entity or any Joint Venture or any of the properties of such Person, as the same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Margin Stock</w:t>
      </w:r>
      <w:r>
        <w:rPr>
          <w:rFonts w:ascii="Times New Roman" w:hAnsi="Times New Roman"/>
          <w:sz w:val="20"/>
        </w:rPr>
        <w:t xml:space="preserve">” shall mean “margin stock” as defined in Regulation U. </w:t>
      </w:r>
    </w:p>
    <w:p>
      <w:pPr>
        <w:pStyle w:val="TextBody"/>
        <w:bidi w:val="0"/>
        <w:spacing w:before="240" w:after="0"/>
        <w:jc w:val="left"/>
        <w:rPr/>
      </w:pPr>
      <w:r>
        <w:rPr/>
        <w:t>“</w:t>
      </w:r>
      <w:r>
        <w:rPr>
          <w:rFonts w:ascii="Times New Roman" w:hAnsi="Times New Roman"/>
          <w:sz w:val="20"/>
          <w:u w:val="single"/>
        </w:rPr>
        <w:t>Master Management Agreements</w:t>
      </w:r>
      <w:r>
        <w:rPr>
          <w:rFonts w:ascii="Times New Roman" w:hAnsi="Times New Roman"/>
          <w:sz w:val="20"/>
        </w:rPr>
        <w:t>” shall mean Management Contracts between a Macerich Entity, as owner of a Project, and a Wholly-Owned Subsidiary in the form of</w:t>
      </w:r>
      <w:r>
        <w:rPr>
          <w:rFonts w:ascii="Times New Roman" w:hAnsi="Times New Roman"/>
          <w:sz w:val="20"/>
          <w:u w:val="single"/>
        </w:rPr>
        <w:t xml:space="preserve"> Exhibit H</w:t>
      </w:r>
      <w:r>
        <w:rPr>
          <w:rFonts w:ascii="Times New Roman" w:hAnsi="Times New Roman"/>
          <w:sz w:val="20"/>
        </w:rPr>
        <w:t xml:space="preserve"> with such Modifications to such form as may be made by the Macerich Entities in their reasonable judgment so long as such Modifications are fair, reasonable, and no less favorable to the owner than would be obtained in a comparable arm’s-length transaction with a Person not a Transactional Affiliate. </w:t>
      </w:r>
    </w:p>
    <w:p>
      <w:pPr>
        <w:pStyle w:val="TextBody"/>
        <w:bidi w:val="0"/>
        <w:spacing w:before="240" w:after="0"/>
        <w:jc w:val="left"/>
        <w:rPr/>
      </w:pPr>
      <w:r>
        <w:rPr/>
        <w:t>“</w:t>
      </w:r>
      <w:r>
        <w:rPr>
          <w:rFonts w:ascii="Times New Roman" w:hAnsi="Times New Roman"/>
          <w:sz w:val="20"/>
          <w:u w:val="single"/>
        </w:rPr>
        <w:t>Material Acquisition Assets</w:t>
      </w:r>
      <w:r>
        <w:rPr>
          <w:rFonts w:ascii="Times New Roman" w:hAnsi="Times New Roman"/>
          <w:sz w:val="20"/>
        </w:rPr>
        <w:t xml:space="preserve">” shall mean new assets acquired as a result of Investments in Projects including new Subsidiaries, Joint Ventures or non-Wholly-Owned Subsidiaries for any one acquisition or series of acquisitions.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shall mean with respect to (a) MAC and its Subsidiaries on a consolidated basis taken as a whole or (b) the Borrower and its Subsidiaries on a consolidated basis taken as a whole, any of the following (1) a material adverse change in, or a material adverse effect upon, the operations, business, properties or condition (financial or otherwise) of such Persons, taken as a whole, from and after the Statement Date, (2) a material impairment of the ability of such Persons, taken as a whole, to otherwise perform their obligations under any Loan Document, or (3) a material adverse effect upon the legality, validity, binding effect or enforceability against such Persons, taken as a whole, of any Loan Document.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Material Credit Document” shall mean any agreement in respect of the incurrence or issuance of</w:t>
      </w:r>
      <w:r>
        <w:rPr>
          <w:rFonts w:ascii="Times New Roman" w:hAnsi="Times New Roman"/>
          <w:color w:val="00C000"/>
          <w:sz w:val="20"/>
          <w:u w:val="single"/>
        </w:rPr>
        <w:t xml:space="preserve"> </w:t>
      </w:r>
      <w:r>
        <w:rPr>
          <w:rFonts w:ascii="Times New Roman" w:hAnsi="Times New Roman"/>
          <w:i/>
          <w:color w:val="00C000"/>
          <w:sz w:val="20"/>
          <w:u w:val="single"/>
        </w:rPr>
        <w:t xml:space="preserve">any unsecured Indebtedness of the type referred to in clauses (a)(i) and (ii) of the definition of “Indebtedness” that is recourse to any Borrower Party (excluding any Indebtedness that is recourse to a Borrower Party solely as a result of a Permitted Guarantee by such Borrower Party) </w:t>
      </w:r>
      <w:r>
        <w:rPr>
          <w:rFonts w:ascii="Times New Roman" w:hAnsi="Times New Roman"/>
          <w:color w:val="0000FF"/>
          <w:sz w:val="20"/>
          <w:u w:val="single"/>
          <w:bdr w:val="double" w:sz="2" w:space="1" w:color="000000"/>
        </w:rPr>
        <w:t>(it being understood that no such documentation evidencing any property-level financing shall constitute a Material Credit Document).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Material Covenant” shall mean any financial covenant (whether set forth as a covenant, undertaking, event of default, restriction or other such provision) in any Material Credit Document that is applicable to MAC and/or the Borrower that requires MAC and/or the Borrower, on a consolidated basis, to achieve or maintain a stated level of financial condition or performance based on the measurement of financial data. For an abundance of clarity, it is understood and agreed that “Material Covenant” does not include, without limitation, the following terms and conditions that may exist with respect to any Material Credit Document: (a) the borrowing cost thereunder, including fees of any type, charges, original issue discounts, and the interest rate applicable thereto, or the manner in which it is determined, such as by reference to a performance metric; (b) the loan amount thereunder, or the manner in which it is determined, such as by reference to an “advance rate”, or “loan to value”, or as a measure of net operating income or debt service coverage or fixed charge coverage thereunder or similar loan sizing metric; (c) the term of such debt, any extension rights, and the fees and conditions thereto; (d) the repayment terms of such indebtedness, including whether such indebtedness is amortizing and the applicable amortization schedule, interest only, accruing, to be repaid in discrete amounts over time, or subject to prepayment penalties, fees or other expenses; (e) the imposition of cash management or cash controls, including when and to the extent the same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are triggered, cured or otherwise applicable, and the relevant Borrower’s access to funds subject thereto; (f) terms, covenants and/or conditions that are specific to one or more properties owned by the applicable Borrower Part(ies), such as occupancy levels, tenant quality, leasing rates, lease term or other rental guidelines, environmental or physical condition of the subject property, and the terms upon which properties may be relied upon for “borrowing base” purposes thereunder, and the release and/or substitution mechanisms applicable to such borrowing base assets; (g) representations and warranties;</w:t>
      </w:r>
      <w:r>
        <w:rPr>
          <w:rFonts w:ascii="Times New Roman" w:hAnsi="Times New Roman"/>
          <w:sz w:val="20"/>
        </w:rPr>
        <w:t xml:space="preserve"> </w:t>
      </w:r>
      <w:r>
        <w:rPr>
          <w:rFonts w:ascii="Times New Roman" w:hAnsi="Times New Roman"/>
          <w:color w:val="0000FF"/>
          <w:sz w:val="20"/>
          <w:u w:val="single"/>
          <w:bdr w:val="double" w:sz="2" w:space="1" w:color="000000"/>
        </w:rPr>
        <w:t>(h) conditions to funding, and the revolving or non-revolving nature thereof; (i) notice and cure periods for events of default; (j) the permitted use of loan funds in relation thereto;</w:t>
      </w:r>
      <w:r>
        <w:rPr>
          <w:rFonts w:ascii="Times New Roman" w:hAnsi="Times New Roman"/>
          <w:sz w:val="20"/>
        </w:rPr>
        <w:t xml:space="preserve"> </w:t>
      </w:r>
      <w:r>
        <w:rPr>
          <w:rFonts w:ascii="Times New Roman" w:hAnsi="Times New Roman"/>
          <w:color w:val="0000FF"/>
          <w:sz w:val="20"/>
          <w:u w:val="single"/>
          <w:bdr w:val="double" w:sz="2" w:space="1" w:color="000000"/>
        </w:rPr>
        <w:t>(k) the amount and terms and conditions applicable to any “accordion” feature thereunder; (l) the terms and conditions relating to amendments of, or waivers with respect to, the subject facility, including when unanimous, majority or affected lender consents are necessary thereunder; (m) the scope and extent of recourse thereunder; (n) restrictions on distributions or new investments by the Borrower Parties thereunder; (o) financial reporting requirements thereunder; (p) insurance, casualty and condemnation provisions thereunder; (q) releases and indemnities thereunder; and (r) in each case of the foregoing clauses (a) through (q), the definitions that apply with respect thereto.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Maximum Increase Amount</w:t>
      </w:r>
      <w:r>
        <w:rPr>
          <w:rFonts w:ascii="Times New Roman" w:hAnsi="Times New Roman"/>
          <w:sz w:val="20"/>
        </w:rPr>
        <w:t xml:space="preserve">” shall have the meaning given such term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Modifications</w:t>
      </w:r>
      <w:r>
        <w:rPr>
          <w:rFonts w:ascii="Times New Roman" w:hAnsi="Times New Roman"/>
          <w:sz w:val="20"/>
        </w:rPr>
        <w:t>” shall mean any amendments, restatements, amendment and restatements, supplements, modifications, renewals, replacements, consolidations, severances, substitutions and extensions of any document or instrument from time to time; “</w:t>
      </w:r>
      <w:r>
        <w:rPr>
          <w:rFonts w:ascii="Times New Roman" w:hAnsi="Times New Roman"/>
          <w:sz w:val="20"/>
          <w:u w:val="single"/>
        </w:rPr>
        <w:t>Modify</w:t>
      </w:r>
      <w:r>
        <w:rPr>
          <w:rFonts w:ascii="Times New Roman" w:hAnsi="Times New Roman"/>
          <w:sz w:val="20"/>
        </w:rPr>
        <w:t>”, “</w:t>
      </w:r>
      <w:r>
        <w:rPr>
          <w:rFonts w:ascii="Times New Roman" w:hAnsi="Times New Roman"/>
          <w:sz w:val="20"/>
          <w:u w:val="single"/>
        </w:rPr>
        <w:t>Modified</w:t>
      </w:r>
      <w:r>
        <w:rPr>
          <w:rFonts w:ascii="Times New Roman" w:hAnsi="Times New Roman"/>
          <w:sz w:val="20"/>
        </w:rPr>
        <w:t xml:space="preserve">,” or related words shall have meanings correlative thereto.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shall mean Moody’s Investors Service, Inc., or any successor thereto. </w:t>
      </w:r>
    </w:p>
    <w:p>
      <w:pPr>
        <w:pStyle w:val="TextBody"/>
        <w:bidi w:val="0"/>
        <w:spacing w:before="240" w:after="0"/>
        <w:jc w:val="left"/>
        <w:rPr/>
      </w:pPr>
      <w:r>
        <w:rPr/>
        <w:t>“</w:t>
      </w:r>
      <w:r>
        <w:rPr>
          <w:rFonts w:ascii="Times New Roman" w:hAnsi="Times New Roman"/>
          <w:sz w:val="20"/>
          <w:u w:val="single"/>
        </w:rPr>
        <w:t>Mortgage Loans</w:t>
      </w:r>
      <w:r>
        <w:rPr>
          <w:rFonts w:ascii="Times New Roman" w:hAnsi="Times New Roman"/>
          <w:sz w:val="20"/>
        </w:rPr>
        <w:t xml:space="preserve">” shall mean all loans owned or held by any of the Macerich Entities secured by mortgages or deeds of trust on Retail/Other Properties. </w:t>
      </w:r>
    </w:p>
    <w:p>
      <w:pPr>
        <w:pStyle w:val="TextBody"/>
        <w:bidi w:val="0"/>
        <w:spacing w:before="240" w:after="0"/>
        <w:jc w:val="left"/>
        <w:rPr/>
      </w:pPr>
      <w:r>
        <w:rPr/>
        <w:t>“</w:t>
      </w:r>
      <w:r>
        <w:rPr>
          <w:rFonts w:ascii="Times New Roman" w:hAnsi="Times New Roman"/>
          <w:sz w:val="20"/>
          <w:u w:val="single"/>
        </w:rPr>
        <w:t>Mortgaged Properties</w:t>
      </w:r>
      <w:r>
        <w:rPr>
          <w:rFonts w:ascii="Times New Roman" w:hAnsi="Times New Roman"/>
          <w:sz w:val="20"/>
        </w:rPr>
        <w:t xml:space="preserve">” shall mean the Real Properties listed on </w:t>
      </w:r>
      <w:r>
        <w:rPr>
          <w:rFonts w:ascii="Times New Roman" w:hAnsi="Times New Roman"/>
          <w:sz w:val="20"/>
          <w:u w:val="single"/>
        </w:rPr>
        <w:t>Schedule I</w:t>
      </w:r>
      <w:r>
        <w:rPr>
          <w:rFonts w:ascii="Times New Roman" w:hAnsi="Times New Roman"/>
          <w:sz w:val="20"/>
        </w:rPr>
        <w:t xml:space="preserve"> under the heading “Borrowing Base Mortgaged Property Assets” and each other Real Property as to which the Collateral Agent for the benefit of the Secured Parties has been, or shall be, granted a valid and enforceable first priority Lien, free and clear of all defects, encumbrances and Liens other than Permitted Encumbrances (some of which, for the avoidance of doubt, may be prior and superior in right to the Lien of such Mortgage) pursuant to one or more Mortgages, as updated from time to time in connection with the addition of any new Borrowing Base Mortgaged Property Assets pursuant to </w:t>
      </w:r>
      <w:r>
        <w:rPr>
          <w:rFonts w:ascii="Times New Roman" w:hAnsi="Times New Roman"/>
          <w:sz w:val="20"/>
          <w:u w:val="single"/>
        </w:rPr>
        <w:t>Section 7.14</w:t>
      </w:r>
      <w:r>
        <w:rPr>
          <w:rFonts w:ascii="Times New Roman" w:hAnsi="Times New Roman"/>
          <w:sz w:val="20"/>
        </w:rPr>
        <w:t xml:space="preserve"> and the release of any Mortgage pursuant to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Mortgaged Property Deliverables</w:t>
      </w:r>
      <w:r>
        <w:rPr>
          <w:rFonts w:ascii="Times New Roman" w:hAnsi="Times New Roman"/>
          <w:sz w:val="20"/>
        </w:rPr>
        <w:t xml:space="preserve">” shall mean, with respect to each Mortgaged Property, </w:t>
      </w:r>
    </w:p>
    <w:p>
      <w:pPr>
        <w:pStyle w:val="TextBody"/>
        <w:bidi w:val="0"/>
        <w:spacing w:before="240" w:after="0"/>
        <w:jc w:val="left"/>
        <w:rPr>
          <w:rFonts w:ascii="Times New Roman" w:hAnsi="Times New Roman"/>
          <w:sz w:val="20"/>
        </w:rPr>
      </w:pPr>
      <w:r>
        <w:rPr>
          <w:rFonts w:ascii="Times New Roman" w:hAnsi="Times New Roman"/>
          <w:sz w:val="20"/>
        </w:rPr>
        <w:t xml:space="preserve">(i)(x) unless the immediately succeeding clause (y) applies, a Mortgage in form and substance reasonably satisfactory to the Administrative Agent, duly executed by the appropriate Borrower Party or, (y) for purposes of </w:t>
      </w:r>
      <w:r>
        <w:rPr>
          <w:rFonts w:ascii="Times New Roman" w:hAnsi="Times New Roman"/>
          <w:sz w:val="20"/>
          <w:u w:val="single"/>
        </w:rPr>
        <w:t>Section 5.1</w:t>
      </w:r>
      <w:r>
        <w:rPr>
          <w:rFonts w:ascii="Times New Roman" w:hAnsi="Times New Roman"/>
          <w:sz w:val="20"/>
        </w:rPr>
        <w:t xml:space="preserve"> only, if a Mortgage in favor of, or for the benefit of, the Collateral Agent was previously recorded against such Mortgaged Property and is in effect as of the Closing Date, a modification to such Mortgage in form and substance reasonably satisfactory to the Administrative Agent (a “</w:t>
      </w:r>
      <w:r>
        <w:rPr>
          <w:rFonts w:ascii="Times New Roman" w:hAnsi="Times New Roman"/>
          <w:sz w:val="20"/>
          <w:u w:val="single"/>
        </w:rPr>
        <w:t>Mortgage Modification</w:t>
      </w:r>
      <w:r>
        <w:rPr>
          <w:rFonts w:ascii="Times New Roman" w:hAnsi="Times New Roman"/>
          <w:sz w:val="20"/>
        </w:rPr>
        <w:t xml:space="preserve">”), duly executed by the appropriate Borrower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evidence that (x) counterparts of such Mortgage or such Mortgage Modification, as applicable, have been duly executed, acknowledged and delivered and are in form suitable for filing or recording in all filing or recording offices that the Administrative Agent may deem necessary or desirable in order to create or maintain, as applicable, a valid and enforceable first priority Lien on the Mortgaged Property described therein in favor of, or for the benefit of, the Collateral Agent, subject only to Permitted Encumbrances (some of which, for the avoidance of doubt, may be prior and superior in right to the Lien of such Mortgage) and (y) all required affidavits, tax forms and filings pertaining to any applicable documentary stamp, intangible and mortgage recordation taxes have been executed and delivered by all appropriate parties and are in form suitable for filing with all applicable Governmental Authorities; </w:t>
      </w:r>
    </w:p>
    <w:p>
      <w:pPr>
        <w:pStyle w:val="TextBody"/>
        <w:bidi w:val="0"/>
        <w:spacing w:before="240" w:after="0"/>
        <w:jc w:val="left"/>
        <w:rPr>
          <w:rFonts w:ascii="Times New Roman" w:hAnsi="Times New Roman"/>
          <w:sz w:val="20"/>
        </w:rPr>
      </w:pPr>
      <w:r>
        <w:rPr>
          <w:rFonts w:ascii="Times New Roman" w:hAnsi="Times New Roman"/>
          <w:sz w:val="20"/>
        </w:rPr>
        <w:t>(iii) to the extent available in the applicable jurisdiction, fully paid American Land Title Association Lender’s Extended Coverage title insurance policies or unconditional commitment therefor (or, in the case of a Mortgage Modification pursuant to clause (i)(y) above, mortgage modification and date down endorsements to the related title insurance policy), issued by a title insurance company reasonably satisfactory to the Administrative Agent (the “</w:t>
      </w:r>
      <w:r>
        <w:rPr>
          <w:rFonts w:ascii="Times New Roman" w:hAnsi="Times New Roman"/>
          <w:sz w:val="20"/>
          <w:u w:val="single"/>
        </w:rPr>
        <w:t>Title Company</w:t>
      </w:r>
      <w:r>
        <w:rPr>
          <w:rFonts w:ascii="Times New Roman" w:hAnsi="Times New Roman"/>
          <w:sz w:val="20"/>
        </w:rPr>
        <w:t>”), in an amount, form and substance reasonably satisfactory to the Administrative Agent, with endorsements or affirmative insurance as required by the Administrative Agent and available in the applicable jurisdiction, naming the Administrative Agent as the insured and insuring such Mortgage to be a valid and enforceable first priority Lien on the Mortgaged Property described therein, free and clear of all defects (including, but not limited to, mechanics’ and materialmen’s Liens) and encumbrances, excepting only Permitted Encumbrances (some of which, for the avoidance of doubt, may be prior and superior in right to the Lien of such Mortgage) (each such policy or unconditional commitment, a “</w:t>
      </w:r>
      <w:r>
        <w:rPr>
          <w:rFonts w:ascii="Times New Roman" w:hAnsi="Times New Roman"/>
          <w:sz w:val="20"/>
          <w:u w:val="single"/>
        </w:rPr>
        <w:t>Title Policy</w:t>
      </w:r>
      <w:r>
        <w:rPr>
          <w:rFonts w:ascii="Times New Roman" w:hAnsi="Times New Roman"/>
          <w:sz w:val="20"/>
        </w:rPr>
        <w:t xml:space="preserve">”), and evidence that all premiums in respect of such Title Policy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(iv) American Land Title Association surveys dated no more than ninety (90) days (or such longer period as may be acceptable to the Administrative Agent together with a survey “no change” affidavit satisfactory to the Administrative Agent and the Title Company) before the date of their delivery to the Administrative Agent, certified to the Administrative Agent and the Title Company in a manner satisfactory to the Administrative Agent by a land surveyor duly registered and licensed in the jurisdiction in which the applicable Mortgaged Property described in such survey is located and acceptable to the Administrative Agent, in form and substance reasonably satisfactory to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(v) property condition, engineering and, as reasonably required by Administrative Agent, seismic assessments as to the applicable Mortgaged Property, each in form and substance and from professional firms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(vi) a Phase I environmental site assessment and, if recommended in such assessment, a Phase II environmental site assessment, with respect to the applicable Mortgaged Property in each case in form and substance and from professional firms reasonably acceptable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evidence of the insurance required by</w:t>
      </w:r>
      <w:r>
        <w:rPr>
          <w:rFonts w:ascii="Times New Roman" w:hAnsi="Times New Roman"/>
          <w:sz w:val="20"/>
          <w:u w:val="single"/>
        </w:rPr>
        <w:t xml:space="preserve"> Section 8.5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(viii)(x) a completed “Life of Loan” standard flood hazard determination form as to any improved Mortgaged Property, (y) if the improvements located on the applicable Mortgaged Property are located in a Special Flood Hazard Area, a Flood Notice and (if applicable) notification to the applicable Borrower Party (the “</w:t>
      </w:r>
      <w:r>
        <w:rPr>
          <w:rFonts w:ascii="Times New Roman" w:hAnsi="Times New Roman"/>
          <w:sz w:val="20"/>
          <w:u w:val="single"/>
        </w:rPr>
        <w:t>Flood Notice</w:t>
      </w:r>
      <w:r>
        <w:rPr>
          <w:rFonts w:ascii="Times New Roman" w:hAnsi="Times New Roman"/>
          <w:sz w:val="20"/>
        </w:rPr>
        <w:t xml:space="preserve">”) that flood insurance coverage under the NFIP is not available because the community in which such improved Mortgaged Property is located does not participate in the NFIP, and (z) if the Flood Notice is required to be given (i) documentation evidencing the applicable Borrower Party’s receipt of the Flood Notice (e.g., a countersigned Flood Notice) and (ii) copy of one of the following: the Flood Insurance policy, the applicable Borrower Party’s application for a Flood Insurance policy plus proof of premium payment, a declaration page confirming that Flood Insurance has been issued, or such other evidence of Flood Insurance required by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(ix) an Appraisal with respect to the applicable Mortgaged Property described in such Mortgage; </w:t>
      </w:r>
    </w:p>
    <w:p>
      <w:pPr>
        <w:pStyle w:val="TextBody"/>
        <w:bidi w:val="0"/>
        <w:spacing w:before="240" w:after="0"/>
        <w:jc w:val="left"/>
        <w:rPr>
          <w:rFonts w:ascii="Times New Roman" w:hAnsi="Times New Roman"/>
          <w:sz w:val="20"/>
        </w:rPr>
      </w:pPr>
      <w:r>
        <w:rPr>
          <w:rFonts w:ascii="Times New Roman" w:hAnsi="Times New Roman"/>
          <w:sz w:val="20"/>
        </w:rPr>
        <w:t xml:space="preserve">(x) estoppel and consent agreements, in form and substance reasonably satisfactory to the Administrative Agent, executed by each of the lessors in the event the applicable Mortgaged Property is subject to a ground lease; </w:t>
      </w:r>
    </w:p>
    <w:p>
      <w:pPr>
        <w:pStyle w:val="TextBody"/>
        <w:bidi w:val="0"/>
        <w:spacing w:before="240" w:after="0"/>
        <w:jc w:val="left"/>
        <w:rPr>
          <w:rFonts w:ascii="Times New Roman" w:hAnsi="Times New Roman"/>
          <w:sz w:val="20"/>
        </w:rPr>
      </w:pPr>
      <w:r>
        <w:rPr>
          <w:rFonts w:ascii="Times New Roman" w:hAnsi="Times New Roman"/>
          <w:sz w:val="20"/>
        </w:rPr>
        <w:t xml:space="preserve">(xi) a certified rent roll for the Mortgaged Property; and </w:t>
      </w:r>
    </w:p>
    <w:p>
      <w:pPr>
        <w:pStyle w:val="TextBody"/>
        <w:bidi w:val="0"/>
        <w:spacing w:before="240" w:after="0"/>
        <w:jc w:val="left"/>
        <w:rPr>
          <w:rFonts w:ascii="Times New Roman" w:hAnsi="Times New Roman"/>
          <w:sz w:val="20"/>
        </w:rPr>
      </w:pPr>
      <w:r>
        <w:rPr>
          <w:rFonts w:ascii="Times New Roman" w:hAnsi="Times New Roman"/>
          <w:sz w:val="20"/>
        </w:rPr>
        <w:t xml:space="preserve">(xii) such other consents, assignment of leases and rents, security agreements, fixture filings, and agreements and confirmations of lessors and third parties as the Administrative Agent may reasonably deem necessary or desirable and evidence that all other actions that the Administrative Agent may reasonably deem necessary or desirable in order to create valid and enforceable Liens on the Mortgaged Property described in such Mortgage (subject to Permitted Encumbrances, some of which, for the avoidance of doubt, may be prior and superior in right to the Lien of such Mortgage) have been taken. </w:t>
      </w:r>
    </w:p>
    <w:p>
      <w:pPr>
        <w:pStyle w:val="TextBody"/>
        <w:bidi w:val="0"/>
        <w:spacing w:before="240" w:after="0"/>
        <w:jc w:val="left"/>
        <w:rPr/>
      </w:pPr>
      <w:r>
        <w:rPr/>
        <w:t>“</w:t>
      </w:r>
      <w:r>
        <w:rPr>
          <w:rFonts w:ascii="Times New Roman" w:hAnsi="Times New Roman"/>
          <w:sz w:val="20"/>
          <w:u w:val="single"/>
        </w:rPr>
        <w:t>Mortgage Modification</w:t>
      </w:r>
      <w:r>
        <w:rPr>
          <w:rFonts w:ascii="Times New Roman" w:hAnsi="Times New Roman"/>
          <w:sz w:val="20"/>
        </w:rPr>
        <w:t xml:space="preserve">” shall have the meaning given such term in the definition of Mortgaged Property Deliverables. </w:t>
      </w:r>
    </w:p>
    <w:p>
      <w:pPr>
        <w:pStyle w:val="TextBody"/>
        <w:bidi w:val="0"/>
        <w:spacing w:before="240" w:after="0"/>
        <w:jc w:val="left"/>
        <w:rPr/>
      </w:pPr>
      <w:r>
        <w:rPr/>
        <w:t>“</w:t>
      </w:r>
      <w:r>
        <w:rPr>
          <w:rFonts w:ascii="Times New Roman" w:hAnsi="Times New Roman"/>
          <w:sz w:val="20"/>
          <w:u w:val="single"/>
        </w:rPr>
        <w:t>Mortgages</w:t>
      </w:r>
      <w:r>
        <w:rPr>
          <w:rFonts w:ascii="Times New Roman" w:hAnsi="Times New Roman"/>
          <w:sz w:val="20"/>
        </w:rPr>
        <w:t xml:space="preserve">” shall mean each of the mortgages, deeds to secure debt, and deeds of trust made by any Borrower Party in favor of, or for the benefit of, the Collateral Agent for the benefit of the Secured Parties and in form and substance reasonably satisfactory to the Collateral Agent, as Modified from time to time (including by any applicable Mortgage Modifications). </w:t>
      </w:r>
    </w:p>
    <w:p>
      <w:pPr>
        <w:pStyle w:val="TextBody"/>
        <w:bidi w:val="0"/>
        <w:spacing w:before="240" w:after="0"/>
        <w:jc w:val="left"/>
        <w:rPr/>
      </w:pPr>
      <w:r>
        <w:rPr/>
        <w:t>“</w:t>
      </w:r>
      <w:r>
        <w:rPr>
          <w:rFonts w:ascii="Times New Roman" w:hAnsi="Times New Roman"/>
          <w:sz w:val="20"/>
          <w:u w:val="single"/>
        </w:rPr>
        <w:t>Mortgage Security Release Event</w:t>
      </w:r>
      <w:r>
        <w:rPr>
          <w:rFonts w:ascii="Times New Roman" w:hAnsi="Times New Roman"/>
          <w:sz w:val="20"/>
        </w:rPr>
        <w:t xml:space="preserve">” shall mean the time at which all of the following conditions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 the Total Leverage Ratio as of the last day of each of the two most recently ended consecutive Fiscal Quarters for which financial statements were required to have been delivered pursuant to </w:t>
      </w:r>
      <w:r>
        <w:rPr>
          <w:rFonts w:ascii="Times New Roman" w:hAnsi="Times New Roman"/>
          <w:sz w:val="20"/>
          <w:u w:val="single"/>
        </w:rPr>
        <w:t>Section 7.1</w:t>
      </w:r>
      <w:r>
        <w:rPr>
          <w:rFonts w:ascii="Times New Roman" w:hAnsi="Times New Roman"/>
          <w:sz w:val="20"/>
        </w:rPr>
        <w:t xml:space="preserve"> does not exceed 6.50:1.00 (as demonstrated in the Compliance Certificate delivered with respect to each such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Borrower is in pro forma compliance with each of the financial covenants set forth in </w:t>
      </w:r>
      <w:r>
        <w:rPr>
          <w:rFonts w:ascii="Times New Roman" w:hAnsi="Times New Roman"/>
          <w:sz w:val="20"/>
          <w:u w:val="single"/>
        </w:rPr>
        <w:t>Section 8.11</w:t>
      </w:r>
      <w:r>
        <w:rPr>
          <w:rFonts w:ascii="Times New Roman" w:hAnsi="Times New Roman"/>
          <w:sz w:val="20"/>
        </w:rPr>
        <w:t xml:space="preserve"> (regardless of whether compliance with such financial covenants is otherwise required prior to or after the occurrence of the Mortgage Security Release Event) as of the last day of the most recently ended Fiscal Quarter for which financial statements were required to have been delivered pursuant to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no Potential Default or Event of Default shall have occurred that is then continuing at such time, or would result after giving effect to the release of Mortgages occurring as a result of the Mortgage Security Release Event; </w:t>
      </w:r>
    </w:p>
    <w:p>
      <w:pPr>
        <w:pStyle w:val="TextBody"/>
        <w:bidi w:val="0"/>
        <w:spacing w:before="240" w:after="0"/>
        <w:jc w:val="left"/>
        <w:rPr>
          <w:rFonts w:ascii="Times New Roman" w:hAnsi="Times New Roman"/>
          <w:sz w:val="20"/>
        </w:rPr>
      </w:pPr>
      <w:r>
        <w:rPr>
          <w:rFonts w:ascii="Times New Roman" w:hAnsi="Times New Roman"/>
          <w:sz w:val="20"/>
        </w:rPr>
        <w:t xml:space="preserve">(iv) the Borrower shall have delivered an officer’s certificate from a Responsible Officer to the Administrative Agent and the Collateral Agent (A) certifying as to (I) satisfaction of the conditions described in the foregoing clauses (i) through (iii) and (II) the “Base Rate Spread” pursuant to the definition of Applicable Base Rate, “SOFR Spread” pursuant to the definition of Applicable Term SOFR Rate and, if applicable at such time, “Alternate Rate Spread” pursuant to the definition of Applicable Alternate Rate, in each case, in effect following the occurrence of the Mortgage Security Release Event, (B) confirming the occurrence of the Mortgage Security Release Event and (C) requesting that the Mortgages be released; and </w:t>
      </w:r>
    </w:p>
    <w:p>
      <w:pPr>
        <w:pStyle w:val="TextBody"/>
        <w:bidi w:val="0"/>
        <w:spacing w:before="240" w:after="0"/>
        <w:jc w:val="left"/>
        <w:rPr>
          <w:rFonts w:ascii="Times New Roman" w:hAnsi="Times New Roman"/>
          <w:sz w:val="20"/>
        </w:rPr>
      </w:pPr>
      <w:r>
        <w:rPr>
          <w:rFonts w:ascii="Times New Roman" w:hAnsi="Times New Roman"/>
          <w:sz w:val="20"/>
        </w:rPr>
        <w:t xml:space="preserve">(v) to the extent that, after giving effect to the occurrence of the Mortgage Security Release Event and the release of the Mortgages in connection therewith (with the release of such Mortgages resulting in the applicable Mortgaged Properties simultaneously and automatically ceasing to constitute Borrowing Base Mortgaged Property Assets (to the extent they did prior to the release of such Mortgages) and ceasing to be included in the Borrowing Base Amount as Borrowing Base Mortgaged Property Assets (to the extent they were included in the Borrowing Base Amount prior to the release of such Mortgages)) and after giving effect to the automatic addition of the Capital Stock of each Person that owns a Borrowing Base Mortgaged Property Asset that ceases to constitute a Borrowing Base Mortgaged Property Asset upon the occurrence of the Mortgage Security Release as a Borrowing Base Unencumbered Equity Interest Asset (unless such Capital Stock does not meet the Borrowing Base Criteria for a Borrowing Base Unencumbered Equity Interest Asset), Revolving Credit Exposure on a pro forma basis would exceed the Borrowing Base Amount on a pro forma basis, the Borrower shall (x) repay the Revolving Loans (or, if no (or insufficient) Revolving Loans are outstanding at such time, Cash Collateralize any issued and outstanding Letters of Credit) and/or (y) provide additional Borrowing Base Assets to eliminate such pro forma excess.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shall mean a “multiemployer plan” (within the meaning of Section 4001(a)(3) of ERISA) to which any Consolidated Entity or any ERISA Affiliate makes, is making, or is obligated to make contributions or, during the preceding five (5) plan years, has made, or been obligated to make, contributions. </w:t>
      </w:r>
    </w:p>
    <w:p>
      <w:pPr>
        <w:pStyle w:val="TextBody"/>
        <w:bidi w:val="0"/>
        <w:spacing w:before="240" w:after="0"/>
        <w:jc w:val="left"/>
        <w:rPr/>
      </w:pPr>
      <w:r>
        <w:rPr/>
        <w:t>“</w:t>
      </w:r>
      <w:r>
        <w:rPr>
          <w:rFonts w:ascii="Times New Roman" w:hAnsi="Times New Roman"/>
          <w:sz w:val="20"/>
          <w:u w:val="single"/>
        </w:rPr>
        <w:t>National Flood Insurance Program</w:t>
      </w:r>
      <w:r>
        <w:rPr>
          <w:rFonts w:ascii="Times New Roman" w:hAnsi="Times New Roman"/>
          <w:sz w:val="20"/>
        </w:rPr>
        <w:t>” or “</w:t>
      </w:r>
      <w:r>
        <w:rPr>
          <w:rFonts w:ascii="Times New Roman" w:hAnsi="Times New Roman"/>
          <w:sz w:val="20"/>
          <w:u w:val="single"/>
        </w:rPr>
        <w:t>NFIP</w:t>
      </w:r>
      <w:r>
        <w:rPr>
          <w:rFonts w:ascii="Times New Roman" w:hAnsi="Times New Roman"/>
          <w:sz w:val="20"/>
        </w:rPr>
        <w:t xml:space="preserve">” shall mean the program created by the U.S. Congress pursuant to the National Flood Insurance Act of 1968 and the Flood Disaster Protection Act of 1973, as revised by the National Flood Insurance Reform Act of 1994, the Flood Insurance Act of 2004 and the Biggert-Waters Flood Insurance Reform Act of 2012, in each case as now and hereafter in effect or any successor statute thereto and together with all statutory and regulatory provisions consolidating, amending, replacing, supplementing, implementing or interpreting any of the foregoing, as amended or modified from time to time, that mandates the purchase of flood insurance to cover real property improvements located in Special Flood Hazard Areas in participating communities and provides protection to property owners through a federal insurance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Hedging Obligations</w:t>
      </w:r>
      <w:r>
        <w:rPr>
          <w:rFonts w:ascii="Times New Roman" w:hAnsi="Times New Roman"/>
          <w:sz w:val="20"/>
        </w:rPr>
        <w:t>” shall mean, as of any date of determination, the excess (if any) of all “unrealized losses” over all “unrealized profits” of such Person arising from Hedging Obligations as substantiated in writing by the Borrower and approved by the Administrative Agent. “</w:t>
      </w:r>
      <w:r>
        <w:rPr>
          <w:rFonts w:ascii="Times New Roman" w:hAnsi="Times New Roman"/>
          <w:sz w:val="20"/>
          <w:u w:val="single"/>
        </w:rPr>
        <w:t>Unrealized losses</w:t>
      </w:r>
      <w:r>
        <w:rPr>
          <w:rFonts w:ascii="Times New Roman" w:hAnsi="Times New Roman"/>
          <w:sz w:val="20"/>
        </w:rPr>
        <w:t>” shall mean the fair market value of the cost to such Person of replacing such Hedging Obligation as of the date of determination (assuming the Hedging Obligation were to be terminated as of that date), and “</w:t>
      </w:r>
      <w:r>
        <w:rPr>
          <w:rFonts w:ascii="Times New Roman" w:hAnsi="Times New Roman"/>
          <w:sz w:val="20"/>
          <w:u w:val="single"/>
        </w:rPr>
        <w:t>unrealized profits</w:t>
      </w:r>
      <w:r>
        <w:rPr>
          <w:rFonts w:ascii="Times New Roman" w:hAnsi="Times New Roman"/>
          <w:sz w:val="20"/>
        </w:rPr>
        <w:t xml:space="preserve">” shall mean the fair market value of the gain to such Person of replacing such Hedging Obligation as of the date of determination (assuming such Hedging Obligation were to be terminated as of that date). </w:t>
      </w:r>
      <w:r>
        <w:rPr>
          <w:rFonts w:ascii="Times New Roman" w:hAnsi="Times New Roman"/>
          <w:color w:val="0000FF"/>
          <w:sz w:val="20"/>
          <w:u w:val="single"/>
          <w:bdr w:val="double" w:sz="2" w:space="1" w:color="000000"/>
        </w:rPr>
        <w:t>Notwithstanding the foregoing, “Net Hedging Obligations” shall not include, and “Hedging Obligations” shall be deemed for all purposes of this Agreement not to include, any obligations of such Person under any call option, warrant, forward stock purchase transaction, capped call transaction, bond hedge transaction or other transaction relating to shares of Capital Stock of MAC (or securities exchangeable into or convertible into shares of Capital Stock of MAC), including any such transaction entered into by MAC or the Borrower in connection with the issuance of convertible or exchangeable Indebtedness, in each case, to the extent such transaction (i) is classified, or intended to be classified, as an equity instrument (and not as a derivative liability) under GAAP, or (ii) does not require cash settlement except at the election of MAC or the Borrower, as applicable.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Net Income</w:t>
      </w:r>
      <w:r>
        <w:rPr>
          <w:rFonts w:ascii="Times New Roman" w:hAnsi="Times New Roman"/>
          <w:sz w:val="20"/>
        </w:rPr>
        <w:t xml:space="preserve">” shall mean, for any period, the net income (or loss), after provision for taxes, of the Consolidated Entities determined on a consolidated basis for such period taken as a single accounting period as determined in accordance with GAAP, and including the Consolidated Entities’ pro rata share of the net income (or loss) of any non-Wholly-Owned Subsidiary and Joint Venture for such period, but excluding (i) any recorded losses and gains and other extraordinary items for such period and any losses or gains in connection with the early extinguishment of debt or the impairment of assets, (ii) other non-cash charges and expenses (including non-cash charges resulting from accounting changes), (iii) any gains or losses arising outside of the ordinary course of business, and (iv) any charges for minority interests in the Borrower held by Unaffiliated Partners. For purposes hereof the Consolidated Entities’ pro rata share of the net income (or loss) of any non-Wholly-Owned Subsidiary or Joint Venture shall be deemed equal to the product of (i) the income (or loss) of such Person, </w:t>
      </w:r>
      <w:r>
        <w:rPr>
          <w:rFonts w:ascii="Times New Roman" w:hAnsi="Times New Roman"/>
          <w:i/>
          <w:sz w:val="20"/>
        </w:rPr>
        <w:t xml:space="preserve">multiplied by </w:t>
      </w:r>
      <w:r>
        <w:rPr>
          <w:rFonts w:ascii="Times New Roman" w:hAnsi="Times New Roman"/>
          <w:sz w:val="20"/>
        </w:rPr>
        <w:t xml:space="preserve">(ii) the percentage of the total outstanding Capital Stock of such Person held by any Consolidated Entity, expressed as a decimal (or the percentage of distributable cash to which the applicable MAC controlled Person is entitled). </w:t>
      </w:r>
    </w:p>
    <w:p>
      <w:pPr>
        <w:pStyle w:val="TextBody"/>
        <w:bidi w:val="0"/>
        <w:spacing w:before="240" w:after="0"/>
        <w:jc w:val="left"/>
        <w:rPr/>
      </w:pPr>
      <w:r>
        <w:rPr/>
        <w:t>“</w:t>
      </w:r>
      <w:r>
        <w:rPr>
          <w:rFonts w:ascii="Times New Roman" w:hAnsi="Times New Roman"/>
          <w:sz w:val="20"/>
          <w:u w:val="single"/>
        </w:rPr>
        <w:t>Net Worth</w:t>
      </w:r>
      <w:r>
        <w:rPr>
          <w:rFonts w:ascii="Times New Roman" w:hAnsi="Times New Roman"/>
          <w:sz w:val="20"/>
        </w:rPr>
        <w:t xml:space="preserve">” shall mean, as of any date of determination, (i) the consolidated stockholders’ equity of MAC as of such date determined in accordance with GAAP, plus (ii) accumulated depreciation and accumulated amortization of MAC as of such date determined on a consolidated basis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New Borrowing</w:t>
      </w:r>
      <w:r>
        <w:rPr>
          <w:rFonts w:ascii="Times New Roman" w:hAnsi="Times New Roman"/>
          <w:sz w:val="20"/>
        </w:rPr>
        <w:t xml:space="preserve">” shall mean any new advance of funds by the applicable Lenders to the Borrower constituting either a Base Rate Loan or a Term SOFR Loan. </w:t>
      </w:r>
    </w:p>
    <w:p>
      <w:pPr>
        <w:pStyle w:val="TextBody"/>
        <w:bidi w:val="0"/>
        <w:spacing w:before="240" w:after="0"/>
        <w:jc w:val="left"/>
        <w:rPr/>
      </w:pPr>
      <w:r>
        <w:rPr/>
        <w:t>“</w:t>
      </w:r>
      <w:r>
        <w:rPr>
          <w:rFonts w:ascii="Times New Roman" w:hAnsi="Times New Roman"/>
          <w:sz w:val="20"/>
          <w:u w:val="single"/>
        </w:rPr>
        <w:t>New Revolving Loan</w:t>
      </w:r>
      <w:r>
        <w:rPr>
          <w:rFonts w:ascii="Times New Roman" w:hAnsi="Times New Roman"/>
          <w:sz w:val="20"/>
        </w:rPr>
        <w:t xml:space="preserve">” shall have the meaning given such term in </w:t>
      </w:r>
      <w:r>
        <w:rPr>
          <w:rFonts w:ascii="Times New Roman" w:hAnsi="Times New Roman"/>
          <w:sz w:val="20"/>
          <w:u w:val="single"/>
        </w:rPr>
        <w:t>Section 3.4(1)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 Revolving Loan Commitments</w:t>
      </w:r>
      <w:r>
        <w:rPr>
          <w:rFonts w:ascii="Times New Roman" w:hAnsi="Times New Roman"/>
          <w:sz w:val="20"/>
        </w:rPr>
        <w:t xml:space="preserve">” shall have the meaning given such term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 Revolving Loan Lender</w:t>
      </w:r>
      <w:r>
        <w:rPr>
          <w:rFonts w:ascii="Times New Roman" w:hAnsi="Times New Roman"/>
          <w:sz w:val="20"/>
        </w:rPr>
        <w:t xml:space="preserve">” shall have the meaning given such term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Non-Defaulting Lender</w:t>
      </w:r>
      <w:r>
        <w:rPr>
          <w:rFonts w:ascii="Times New Roman" w:hAnsi="Times New Roman"/>
          <w:sz w:val="20"/>
        </w:rPr>
        <w:t xml:space="preserve">” shall mean, at any time, each Lender that is not a Defaulting Lender at such time.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shall mean a Revolving Loan Note. </w:t>
      </w:r>
    </w:p>
    <w:p>
      <w:pPr>
        <w:pStyle w:val="TextBody"/>
        <w:bidi w:val="0"/>
        <w:spacing w:before="240" w:after="0"/>
        <w:jc w:val="left"/>
        <w:rPr/>
      </w:pPr>
      <w:r>
        <w:rPr/>
        <w:t>“</w:t>
      </w:r>
      <w:r>
        <w:rPr>
          <w:rFonts w:ascii="Times New Roman" w:hAnsi="Times New Roman"/>
          <w:sz w:val="20"/>
          <w:u w:val="single"/>
        </w:rPr>
        <w:t>NPL</w:t>
      </w:r>
      <w:r>
        <w:rPr>
          <w:rFonts w:ascii="Times New Roman" w:hAnsi="Times New Roman"/>
          <w:sz w:val="20"/>
        </w:rPr>
        <w:t xml:space="preserve">” shall have the meaning given such term in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shall mean any and all debts, obligations and liabilities of the Borrower Parties to the Administrative Agent, the Collateral Agent, any Issuing Lender, the other Agents, any of the Lenders or any other Secured Party (whether now existing or hereafter arising, voluntary or involuntary, whether or not jointly owed with others, direct or indirect, absolute or contingent, liquidated or unliquidated, and whether or not from time to time decreased or extinguished and later increased, created or incurred), arising out of or related to the Loan Documents.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shall have the meaning given such term in </w:t>
      </w:r>
      <w:r>
        <w:rPr>
          <w:rFonts w:ascii="Times New Roman" w:hAnsi="Times New Roman"/>
          <w:sz w:val="20"/>
          <w:u w:val="single"/>
        </w:rPr>
        <w:t>Section 6.26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shall mean: (a) for any corporation, the certificate or articles of incorporation, the bylaws, any certificate of determination or instrument relating to the rights of preferred shareholders of such corporation, and all applicable resolutions of the Board of Directors (or any committee thereof) of such corporation, (b) for any partnership, the partnership agreement, any certificate of formation, and any other instrument or agreement relating to the rights between the partners or pursuant to which such partnership is formed, (c) for any limited liability company, the operating agreement, any articles of organization or formation, and any other instrument or agreement relating to the rights between the members, pertaining to the manager, or pursuant to which such limited liability company is formed, and (d) for any trust, the trust agreement and any other instrument or agreement relating to the rights between the trustors, trustees and beneficiaries, or pursuant to which such trust is formed. </w:t>
      </w:r>
    </w:p>
    <w:p>
      <w:pPr>
        <w:pStyle w:val="TextBody"/>
        <w:bidi w:val="0"/>
        <w:spacing w:before="240" w:after="0"/>
        <w:jc w:val="left"/>
        <w:rPr/>
      </w:pPr>
      <w:r>
        <w:rPr/>
        <w:t>“</w:t>
      </w:r>
      <w:r>
        <w:rPr>
          <w:rFonts w:ascii="Times New Roman" w:hAnsi="Times New Roman"/>
          <w:sz w:val="20"/>
          <w:u w:val="single"/>
        </w:rPr>
        <w:t>Original Closing Date</w:t>
      </w:r>
      <w:r>
        <w:rPr>
          <w:rFonts w:ascii="Times New Roman" w:hAnsi="Times New Roman"/>
          <w:sz w:val="20"/>
        </w:rPr>
        <w:t xml:space="preserve">” shall mean April 14, 2021. </w:t>
      </w:r>
    </w:p>
    <w:p>
      <w:pPr>
        <w:pStyle w:val="TextBody"/>
        <w:bidi w:val="0"/>
        <w:spacing w:before="240" w:after="0"/>
        <w:jc w:val="left"/>
        <w:rPr/>
      </w:pPr>
      <w:r>
        <w:rPr/>
        <w:t>“</w:t>
      </w:r>
      <w:r>
        <w:rPr>
          <w:rFonts w:ascii="Times New Roman" w:hAnsi="Times New Roman"/>
          <w:sz w:val="20"/>
          <w:u w:val="single"/>
        </w:rPr>
        <w:t>Original Credit Agreement</w:t>
      </w:r>
      <w:r>
        <w:rPr>
          <w:rFonts w:ascii="Times New Roman" w:hAnsi="Times New Roman"/>
          <w:sz w:val="20"/>
        </w:rPr>
        <w:t xml:space="preserve">” shall have the meaning given such term in the recitals to this Agreement. </w:t>
      </w:r>
    </w:p>
    <w:p>
      <w:pPr>
        <w:pStyle w:val="TextBody"/>
        <w:bidi w:val="0"/>
        <w:spacing w:before="240" w:after="0"/>
        <w:jc w:val="left"/>
        <w:rPr/>
      </w:pPr>
      <w:r>
        <w:rPr/>
        <w:t>“</w:t>
      </w:r>
      <w:r>
        <w:rPr>
          <w:rFonts w:ascii="Times New Roman" w:hAnsi="Times New Roman"/>
          <w:sz w:val="20"/>
          <w:u w:val="single"/>
        </w:rPr>
        <w:t>Originating Lender</w:t>
      </w:r>
      <w:r>
        <w:rPr>
          <w:rFonts w:ascii="Times New Roman" w:hAnsi="Times New Roman"/>
          <w:sz w:val="20"/>
        </w:rPr>
        <w:t xml:space="preserve">” shall have the meaning given such term in </w:t>
      </w:r>
      <w:r>
        <w:rPr>
          <w:rFonts w:ascii="Times New Roman" w:hAnsi="Times New Roman"/>
          <w:sz w:val="20"/>
          <w:u w:val="single"/>
        </w:rPr>
        <w:t>Section 11.8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Cap Rate Property</w:t>
      </w:r>
      <w:r>
        <w:rPr>
          <w:rFonts w:ascii="Times New Roman" w:hAnsi="Times New Roman"/>
          <w:sz w:val="20"/>
        </w:rPr>
        <w:t xml:space="preserve">” shall mean each Real Property (other than a 6.0% Cap Rate Property, a 7.0% Cap Rate Property or a 10.0% Cap Rate Property) that is directly or indirectly owned by a Person whose Capital Stock is a Borrowing Base Equity Interest Asset.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shall mean, with respect to any recipient of any payment under this Agreement,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sz w:val="20"/>
          <w:u w:val="single"/>
        </w:rPr>
        <w:t>Section 2.8(2)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Outbound Investment Rules</w:t>
      </w:r>
      <w:r>
        <w:rPr>
          <w:rFonts w:ascii="Times New Roman" w:hAnsi="Times New Roman"/>
          <w:sz w:val="20"/>
        </w:rPr>
        <w:t xml:space="preserve">” shall mean the regulations administered and enforced, together with any related public guidance issued, by the U.S. Department of the Treasury under U.S. Executive Order 14105, “Addressing United States Investments in Certain National Security Technologies and Products in Countries of Concern” (August 9, 2023), as of the Closing Date, and as codified at 31 C.F.R. § 850.101 et seq. </w:t>
      </w:r>
    </w:p>
    <w:p>
      <w:pPr>
        <w:pStyle w:val="TextBody"/>
        <w:bidi w:val="0"/>
        <w:spacing w:before="240" w:after="0"/>
        <w:jc w:val="left"/>
        <w:rPr/>
      </w:pPr>
      <w:r>
        <w:rPr/>
        <w:t>“</w:t>
      </w:r>
      <w:r>
        <w:rPr>
          <w:rFonts w:ascii="Times New Roman" w:hAnsi="Times New Roman"/>
          <w:sz w:val="20"/>
          <w:u w:val="single"/>
        </w:rPr>
        <w:t>Outside L/C Maturity Date</w:t>
      </w:r>
      <w:r>
        <w:rPr>
          <w:rFonts w:ascii="Times New Roman" w:hAnsi="Times New Roman"/>
          <w:sz w:val="20"/>
        </w:rPr>
        <w:t xml:space="preserve">” shall mean the date six calendar months after the Initial Revolving Commitment Termination Date; provided that at any time prior to the extension of the Initial Revolving Commitment Termination Date in accordance with the terms and conditions of </w:t>
      </w:r>
      <w:r>
        <w:rPr>
          <w:rFonts w:ascii="Times New Roman" w:hAnsi="Times New Roman"/>
          <w:sz w:val="20"/>
          <w:u w:val="single"/>
        </w:rPr>
        <w:t>Section 1.7(5)</w:t>
      </w:r>
      <w:r>
        <w:rPr>
          <w:rFonts w:ascii="Times New Roman" w:hAnsi="Times New Roman"/>
          <w:sz w:val="20"/>
        </w:rPr>
        <w:t xml:space="preserve">, if the Borrower has notified the Administrative Agent in writing that it will exercise the option to extend the Initial Revolving Commitment Termination Date until the Extended Revolving Commitment Termination Date, such date shall be extended to eighteen calendar months after the Initial Revolving Commitment Termination Date.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shall have the meaning given such term in </w:t>
      </w:r>
      <w:r>
        <w:rPr>
          <w:rFonts w:ascii="Times New Roman" w:hAnsi="Times New Roman"/>
          <w:sz w:val="20"/>
          <w:u w:val="single"/>
        </w:rPr>
        <w:t>Section 11.8(3)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shall have the meaning given such term in </w:t>
      </w:r>
      <w:r>
        <w:rPr>
          <w:rFonts w:ascii="Times New Roman" w:hAnsi="Times New Roman"/>
          <w:sz w:val="20"/>
          <w:u w:val="single"/>
        </w:rPr>
        <w:t>Section 11.8(5)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Patriot Act</w:t>
      </w:r>
      <w:r>
        <w:rPr>
          <w:rFonts w:ascii="Times New Roman" w:hAnsi="Times New Roman"/>
          <w:sz w:val="20"/>
        </w:rPr>
        <w:t xml:space="preserve">” shall have the meaning given such term in </w:t>
      </w:r>
      <w:r>
        <w:rPr>
          <w:rFonts w:ascii="Times New Roman" w:hAnsi="Times New Roman"/>
          <w:sz w:val="20"/>
          <w:u w:val="single"/>
        </w:rPr>
        <w:t>Section 6.26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in Full</w:t>
      </w:r>
      <w:r>
        <w:rPr>
          <w:rFonts w:ascii="Times New Roman" w:hAnsi="Times New Roman"/>
          <w:sz w:val="20"/>
        </w:rPr>
        <w:t xml:space="preserve">” shall mean the (i) termination of all Commitments, (ii) payment in full, in cash, of all of the Obligations (other than any contingent indemnity or similar obligations for which no claim has been made), (iii) Cash Collateralization of, or making of other arrangements satisfactory to the applicable Issuing Lenders with respect to, all Letters of Credit and (iv) termination of all Secured Hedge Agreements (or the making of arrangements with respect thereto that are reasonably satisfactory to the applicable Specified Counterparties). </w:t>
      </w:r>
    </w:p>
    <w:p>
      <w:pPr>
        <w:pStyle w:val="TextBody"/>
        <w:bidi w:val="0"/>
        <w:spacing w:before="240" w:after="0"/>
        <w:jc w:val="left"/>
        <w:rPr/>
      </w:pPr>
      <w:r>
        <w:rPr/>
        <w:t>“</w:t>
      </w:r>
      <w:r>
        <w:rPr>
          <w:rFonts w:ascii="Times New Roman" w:hAnsi="Times New Roman"/>
          <w:sz w:val="20"/>
          <w:u w:val="single"/>
        </w:rPr>
        <w:t>Payment Recipient</w:t>
      </w:r>
      <w:r>
        <w:rPr>
          <w:rFonts w:ascii="Times New Roman" w:hAnsi="Times New Roman"/>
          <w:sz w:val="20"/>
        </w:rPr>
        <w:t xml:space="preserve">” shall have the meaning given such term in </w:t>
      </w:r>
      <w:r>
        <w:rPr>
          <w:rFonts w:ascii="Times New Roman" w:hAnsi="Times New Roman"/>
          <w:sz w:val="20"/>
          <w:u w:val="single"/>
        </w:rPr>
        <w:t>Section 10.15(4)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PBGC</w:t>
      </w:r>
      <w:r>
        <w:rPr>
          <w:rFonts w:ascii="Times New Roman" w:hAnsi="Times New Roman"/>
          <w:sz w:val="20"/>
        </w:rPr>
        <w:t xml:space="preserve">” shall mean the Pension Benefit Guaranty Corporation or any entity succeeding to any of its principal functions under ERISA.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shall mean a “pension plan” (as defined in Section 3(2) of ERISA) that is subject to Title IV of ERISA which any Consolidated Entity or any ERISA Affiliate sponsors, maintains, or to which any Consolidated Entity or any ERISA Affiliate makes, is making, or is obligated to make contributions, or in the case of a multiple employer or other plan described in Section 4064(a) of ERISA, has made contributions at any time during the immediately preceding five (5) plan years, but excluding any Multiemployer Plan. </w:t>
      </w:r>
    </w:p>
    <w:p>
      <w:pPr>
        <w:pStyle w:val="TextBody"/>
        <w:bidi w:val="0"/>
        <w:spacing w:before="240" w:after="0"/>
        <w:jc w:val="left"/>
        <w:rPr/>
      </w:pPr>
      <w:r>
        <w:rPr/>
        <w:t>“</w:t>
      </w:r>
      <w:r>
        <w:rPr>
          <w:rFonts w:ascii="Times New Roman" w:hAnsi="Times New Roman"/>
          <w:sz w:val="20"/>
          <w:u w:val="single"/>
        </w:rPr>
        <w:t>Permitted Encumbrances</w:t>
      </w:r>
      <w:r>
        <w:rPr>
          <w:rFonts w:ascii="Times New Roman" w:hAnsi="Times New Roman"/>
          <w:sz w:val="20"/>
        </w:rPr>
        <w:t xml:space="preserve">” shall mean any Liens with respect to the assets of the Macerich Entities consisting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Liens (other than environmental Liens and Liens in favor of the PBGC) with respect to the payment of taxes, assessments or governmental charges in all cases which are not yet due or which are being contested in good faith and with respect to which adequate reserves or other appropriate provisions are being maintained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(b) statutory liens of carriers, warehousemen, mechanics, materialmen, landlords, repairmen or other like Liens arising by operation of law in the ordinary course of business for amounts which, if not resolved in favor of the Macerich Entities,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Liens securing the performance of bids, trade contracts (other than borrowed money), leases, statutory obligations, surety and appeal bonds, performance bonds and other obligations of a like nature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other Liens incidental to the conduct of the business of the Macerich Entities, including Liens arising with respect to zoning restrictions, easements, reciprocal easement agreements and related separate or supplemental agreements, covenants, conditions and restrictions, licenses, reservations, covenants, rights-of-way, encroachments, building restrictions, minor defects, irregularities in title, tax and developmental incentives, and other similar charges or encumbrances on the use of the assets of the Macerich Entities which do not interfere with the ordinary conduct of the business of the Macerich Entities and that are not incurred (i) in violation of any terms and conditions of this Agreement, (ii) in connection with the borrowing of money or the obtaining of advances or credit, or (iii) in a manner which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Liens incurred or deposits made in the ordinary course of business in connection with worker’s compensation, unemployment insurance and other types of social security; </w:t>
      </w:r>
    </w:p>
    <w:p>
      <w:pPr>
        <w:pStyle w:val="TextBody"/>
        <w:bidi w:val="0"/>
        <w:spacing w:before="240" w:after="0"/>
        <w:jc w:val="left"/>
        <w:rPr>
          <w:rFonts w:ascii="Times New Roman" w:hAnsi="Times New Roman"/>
          <w:sz w:val="20"/>
        </w:rPr>
      </w:pPr>
      <w:r>
        <w:rPr>
          <w:rFonts w:ascii="Times New Roman" w:hAnsi="Times New Roman"/>
          <w:sz w:val="20"/>
        </w:rPr>
        <w:t xml:space="preserve">(f) any attachment or judgment Lien not constituting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(g) Licenses (with respect to intellectual property and other property), capital leases, leases or subleases granted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(i) interest or title of a lessor or sublessor under any lease not prohibited by this Agreement, (ii) Lien or restriction that the interest or title of such lessor or sublessor may be subject to, or (iii) subordination of the interest of the lessee or sublessee under such lease to any Lien or restriction referred to in the preceding clause (ii), so long as the holder of such Lien or restriction agrees to recognize the rights of such lessee or sublessee under such lease; </w:t>
      </w:r>
    </w:p>
    <w:p>
      <w:pPr>
        <w:pStyle w:val="TextBody"/>
        <w:bidi w:val="0"/>
        <w:spacing w:before="240" w:after="0"/>
        <w:jc w:val="left"/>
        <w:rPr>
          <w:rFonts w:ascii="Times New Roman" w:hAnsi="Times New Roman"/>
          <w:sz w:val="20"/>
        </w:rPr>
      </w:pPr>
      <w:r>
        <w:rPr>
          <w:rFonts w:ascii="Times New Roman" w:hAnsi="Times New Roman"/>
          <w:sz w:val="20"/>
        </w:rPr>
        <w:t xml:space="preserve">(i) Liens arising from filing UCC financing statements relating solely to leases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(k) Liens on personal property (other than the Collateral (as defined in the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(l) other Liens which are the subject of a Good Faith Contest and do not secure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(m) Liens reflecting the interest of a purchaser pursuant to a contract to purchase Property, including in the form of a memorandum of purchase contract recorded in the title records for the subject Property; </w:t>
      </w:r>
    </w:p>
    <w:p>
      <w:pPr>
        <w:pStyle w:val="TextBody"/>
        <w:bidi w:val="0"/>
        <w:spacing w:before="240" w:after="0"/>
        <w:jc w:val="left"/>
        <w:rPr>
          <w:rFonts w:ascii="Times New Roman" w:hAnsi="Times New Roman"/>
          <w:sz w:val="20"/>
        </w:rPr>
      </w:pPr>
      <w:r>
        <w:rPr>
          <w:rFonts w:ascii="Times New Roman" w:hAnsi="Times New Roman"/>
          <w:sz w:val="20"/>
        </w:rPr>
        <w:t>(n) Liens in respect of rights of redemption, put and call rights, buy-sell rights, first offer rights, rights of first refusal, forced sale rights, drag-to-market rights, tag-along rights, restrictions on transfer and similar encumbrances, in each case, that are in favor of Persons who are not Affiliates of any Macerich Entity and set forth in the organizational documentation of a non-Wholly-Owned entity (whether on the Closing Date or, to the extent entered into for bona fide business purposes and not in contravention of the Loan Documents, in the future) (each of the foregoing in this clause (n), a “</w:t>
      </w:r>
      <w:r>
        <w:rPr>
          <w:rFonts w:ascii="Times New Roman" w:hAnsi="Times New Roman"/>
          <w:sz w:val="20"/>
          <w:u w:val="single"/>
        </w:rPr>
        <w:t>Contractual Encumbrance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Liens (i) of a collection bank arising under Section 4-210 of the UCC,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 and </w:t>
      </w:r>
    </w:p>
    <w:p>
      <w:pPr>
        <w:pStyle w:val="TextBody"/>
        <w:bidi w:val="0"/>
        <w:spacing w:before="240" w:after="0"/>
        <w:jc w:val="left"/>
        <w:rPr>
          <w:rFonts w:ascii="Times New Roman" w:hAnsi="Times New Roman"/>
          <w:sz w:val="20"/>
        </w:rPr>
      </w:pPr>
      <w:r>
        <w:rPr>
          <w:rFonts w:ascii="Times New Roman" w:hAnsi="Times New Roman"/>
          <w:sz w:val="20"/>
        </w:rPr>
        <w:t xml:space="preserve">(p) Liens that are contractual rights of set-off (i) relating to the establishment of depository relations with banks or other Persons not given in connection with the issuance of Indebtedness; or (ii) relating to pooled deposit or sweep accounts of the Borrower Parties to permit satisfaction of overdraft or similar obligations incurred in the ordinary course of business of the Borrower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Guaranties</w:t>
      </w:r>
      <w:r>
        <w:rPr>
          <w:rFonts w:ascii="Times New Roman" w:hAnsi="Times New Roman"/>
          <w:sz w:val="20"/>
        </w:rPr>
        <w:t xml:space="preserve">” shall mean any of the following, provided such guaranties are not secured by any assets directly owned by any Borrower Party: </w:t>
      </w:r>
    </w:p>
    <w:p>
      <w:pPr>
        <w:pStyle w:val="TextBody"/>
        <w:bidi w:val="0"/>
        <w:spacing w:before="120" w:after="0"/>
        <w:jc w:val="left"/>
        <w:rPr>
          <w:rFonts w:ascii="Times New Roman" w:hAnsi="Times New Roman"/>
          <w:sz w:val="20"/>
        </w:rPr>
      </w:pPr>
      <w:r>
        <w:rPr>
          <w:rFonts w:ascii="Times New Roman" w:hAnsi="Times New Roman"/>
          <w:sz w:val="20"/>
        </w:rPr>
        <w:t xml:space="preserve">(a) guaranties of principal repayment customarily undertaken in the ordinary course </w:t>
      </w:r>
      <w:r>
        <w:rPr>
          <w:rFonts w:ascii="Times New Roman" w:hAnsi="Times New Roman"/>
          <w:strike/>
          <w:color w:val="FF0000"/>
          <w:sz w:val="20"/>
        </w:rPr>
        <w:t>(“</w:t>
      </w:r>
      <w:r>
        <w:rPr>
          <w:rFonts w:ascii="Times New Roman" w:hAnsi="Times New Roman"/>
          <w:color w:val="FF0000"/>
          <w:sz w:val="20"/>
          <w:u w:val="single"/>
        </w:rPr>
        <w:t>Principal Repayment Guaranties</w:t>
      </w:r>
      <w:r>
        <w:rPr>
          <w:rFonts w:ascii="Times New Roman" w:hAnsi="Times New Roman"/>
          <w:strike/>
          <w:color w:val="FF0000"/>
          <w:sz w:val="20"/>
        </w:rPr>
        <w:t>”); provided that the aggregate maximum potential liability of the Borrower Parties in respect of all such Principal Repayment Guaranties pursuant to this clause (a) shall not at any time exceed an amount equal to the greater of (i) 6% of Consolidated Total Assets and (ii) $550,000,000; provided further that if and to the extent either (x) a payment is made under a Principal Repayment Guaranty that reduces the remaining obligations under such Principal Repayment Guaranty or (y) the amount of such Principal Repayment Guaranty is increased, the amount of such Principal Repayment Guaranty for purposes of the cap set forth in the immediately preceding proviso shall be reduced or increased, as applicable, in a corresponding amount so that the amount of such Principal Repayment Guaranty for purposes of this definition matches the actual amount of such Principal Repayment Guaranty at all times;</w:t>
      </w:r>
      <w:r>
        <w:rPr>
          <w:rFonts w:ascii="Times New Roman" w:hAnsi="Times New Roman"/>
          <w:color w:val="0000FF"/>
          <w:sz w:val="20"/>
          <w:u w:val="single"/>
          <w:bdr w:val="double" w:sz="2" w:space="1" w:color="000000"/>
        </w:rPr>
        <w:t>in respect of Permitted Indebtedness;</w:t>
      </w:r>
      <w:r>
        <w:rPr>
          <w:rFonts w:ascii="Times New Roman" w:hAnsi="Times New Roman"/>
          <w:color w:val="FF000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guaranties of performance (including completion guarantees), “carry” guaranties and guaranties of mandatory equity contributions (excluding any equity contributions that are or are required to be used to make principal repayments), in each case, customarily undertaken in the ordinary course, but excluding guaranties of principal repayment; </w:t>
      </w:r>
    </w:p>
    <w:p>
      <w:pPr>
        <w:pStyle w:val="TextBody"/>
        <w:bidi w:val="0"/>
        <w:spacing w:before="240" w:after="0"/>
        <w:jc w:val="left"/>
        <w:rPr>
          <w:rFonts w:ascii="Times New Roman" w:hAnsi="Times New Roman"/>
          <w:sz w:val="20"/>
        </w:rPr>
      </w:pPr>
      <w:r>
        <w:rPr>
          <w:rFonts w:ascii="Times New Roman" w:hAnsi="Times New Roman"/>
          <w:sz w:val="20"/>
        </w:rPr>
        <w:t xml:space="preserve">(c) guaranties of environmental indemnification obligations and “non-recourse carveouts” customarily undertaken in connection with mortgage and mezzanine financings, debt-like preferred equity investments by third parties, and similar financing or debt-like transactions for which the repayment thereof is primarily based on the income from one or more Real Properties; </w:t>
      </w:r>
    </w:p>
    <w:p>
      <w:pPr>
        <w:pStyle w:val="TextBody"/>
        <w:bidi w:val="0"/>
        <w:spacing w:before="240" w:after="0"/>
        <w:jc w:val="left"/>
        <w:rPr>
          <w:rFonts w:ascii="Times New Roman" w:hAnsi="Times New Roman"/>
          <w:sz w:val="20"/>
        </w:rPr>
      </w:pPr>
      <w:r>
        <w:rPr>
          <w:rFonts w:ascii="Times New Roman" w:hAnsi="Times New Roman"/>
          <w:sz w:val="20"/>
        </w:rPr>
        <w:t xml:space="preserve">(d) guaranties of a Macerich Entity’s obligations (other than obligations in respect of Indebtedness for borrowed money) to Unaffiliated Partners with respect to a Subsidiary Entity, such as guaranties of a Macerich Entity’s capital contribution obligations to a partnership with such Unaffiliated Partner(s); </w:t>
      </w:r>
    </w:p>
    <w:p>
      <w:pPr>
        <w:pStyle w:val="TextBody"/>
        <w:bidi w:val="0"/>
        <w:spacing w:before="240" w:after="0"/>
        <w:jc w:val="left"/>
        <w:rPr>
          <w:rFonts w:ascii="Times New Roman" w:hAnsi="Times New Roman"/>
          <w:sz w:val="20"/>
        </w:rPr>
      </w:pPr>
      <w:r>
        <w:rPr>
          <w:rFonts w:ascii="Times New Roman" w:hAnsi="Times New Roman"/>
          <w:sz w:val="20"/>
        </w:rPr>
        <w:t xml:space="preserve">(e) guaranties in favor of tenants and occupants of a Real Property, or others in relation to a lease or occupancy agreement in respect of a Real Property, of contribution amounts to, and allowances for, a tenant’s improvements or the performance of landlord’s work under a lease, or amounts to be paid to an occupant such as an anchor retailer in relation to a proposed activity at a subject Real Property (such as redevelopment) or with respect to obligations to a governmental agency such as under a development agreement, tax incentive financing arrangement or the like, in each case undertaken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(f) guaranties provided in relation to the issuance of title insurance, the bonding of mechanics’ and other statutory liens, and for the provision of utility services; and </w:t>
      </w:r>
    </w:p>
    <w:p>
      <w:pPr>
        <w:pStyle w:val="TextBody"/>
        <w:bidi w:val="0"/>
        <w:spacing w:before="240" w:after="0"/>
        <w:jc w:val="left"/>
        <w:rPr>
          <w:rFonts w:ascii="Times New Roman" w:hAnsi="Times New Roman"/>
          <w:sz w:val="20"/>
        </w:rPr>
      </w:pPr>
      <w:r>
        <w:rPr>
          <w:rFonts w:ascii="Times New Roman" w:hAnsi="Times New Roman"/>
          <w:sz w:val="20"/>
        </w:rPr>
        <w:t xml:space="preserve">(g) Guaranties listed on </w:t>
      </w:r>
      <w:r>
        <w:rPr>
          <w:rFonts w:ascii="Times New Roman" w:hAnsi="Times New Roman"/>
          <w:sz w:val="20"/>
          <w:u w:val="single"/>
        </w:rPr>
        <w:t>Schedule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Further, in the case of any such guarantee in respect of which a Borrower Party or a Subsidiary of a Borrower Party is jointly and severally liable with a Person that is not an Affiliate of the Borrower Parties, any calculation with respect thereto shall include the entirety of such guarantee obligations without taking into account any related joint and several liability or contribution, indemnity or similar rights of any Borrower Party or any Subsidiary of a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Party against such non-Affiliated Person unless such non-Affiliated Person (x) is listed on Schedule 8.21, (y) has delivered a letter of credit, cash or Cash Equivalents to secure all or any part of such non-Affiliated Person’s guaranteed obligations or (z) holds an investment grade credit rating from either Moody’s or S&amp;P. For the avoidance of doubt, guaranties of principal repayment shall only be permitted under clause (a) of this definition and not any other clause of this definition</w:t>
      </w:r>
      <w:r>
        <w:rPr>
          <w:rFonts w:ascii="Times New Roman" w:hAnsi="Times New Roman"/>
          <w:color w:val="0000FF"/>
          <w:sz w:val="20"/>
          <w:u w:val="single"/>
          <w:bdr w:val="double" w:sz="2" w:space="1" w:color="000000"/>
        </w:rPr>
        <w:t xml:space="preserve"> (it being agreed, however, that any principal repayment obligations arising under a “non-recourse carveout” guaranty are addressed by clause (c) and not clause (a))</w:t>
      </w:r>
      <w:r>
        <w:rPr>
          <w:rFonts w:ascii="Times New Roman" w:hAnsi="Times New Roman"/>
          <w:color w:val="0000FF"/>
          <w:sz w:val="20"/>
        </w:rPr>
        <w:t xml:space="preserve">. </w:t>
      </w:r>
    </w:p>
    <w:p>
      <w:pPr>
        <w:pStyle w:val="TextBody"/>
        <w:bidi w:val="0"/>
        <w:spacing w:before="360" w:after="0"/>
        <w:jc w:val="left"/>
        <w:rPr/>
      </w:pPr>
      <w:r>
        <w:rPr/>
        <w:t>“</w:t>
      </w:r>
      <w:r>
        <w:rPr>
          <w:rFonts w:ascii="Times New Roman" w:hAnsi="Times New Roman"/>
          <w:sz w:val="20"/>
          <w:u w:val="single"/>
        </w:rPr>
        <w:t>Permitted Indebtedness</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consisting of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(other than (i) Indebtedness that is recourse to the Borrower Parties and (ii) Indebtedness of the type described in clauses (a), (c), (d), (e) and (f) of this definition), which for the avoidance of doubt, may be secured, including Indebtedness incurred in connection with a Financing or Joint Venture Transaction; provided that after giving effect thereto, the Borrower Parties maintain compliance with the financial covenants set forth in </w:t>
      </w:r>
      <w:r>
        <w:rPr>
          <w:rFonts w:ascii="Times New Roman" w:hAnsi="Times New Roman"/>
          <w:sz w:val="20"/>
          <w:u w:val="single"/>
        </w:rPr>
        <w:t>Section 8.11</w:t>
      </w:r>
      <w:r>
        <w:rPr>
          <w:rFonts w:ascii="Times New Roman" w:hAnsi="Times New Roman"/>
          <w:sz w:val="20"/>
        </w:rPr>
        <w:t xml:space="preserve"> that are in effect at such time; </w:t>
      </w:r>
    </w:p>
    <w:p>
      <w:pPr>
        <w:pStyle w:val="TextBody"/>
        <w:bidi w:val="0"/>
        <w:spacing w:before="240" w:after="0"/>
        <w:jc w:val="left"/>
        <w:rPr>
          <w:rFonts w:ascii="Times New Roman" w:hAnsi="Times New Roman"/>
          <w:sz w:val="20"/>
        </w:rPr>
      </w:pPr>
      <w:r>
        <w:rPr>
          <w:rFonts w:ascii="Times New Roman" w:hAnsi="Times New Roman"/>
          <w:sz w:val="20"/>
        </w:rPr>
        <w:t xml:space="preserve">(c) Permitted Guaranties and Indebtedness consisting of reimbursement obligations in respect of letters of credit (in each case other than Indebtedness of the type described in clauses (d), (e) and (f) of this definition); provided that after giving effect thereto, the Borrower Parties maintain compliance with the financial covenants set forth in </w:t>
      </w:r>
      <w:r>
        <w:rPr>
          <w:rFonts w:ascii="Times New Roman" w:hAnsi="Times New Roman"/>
          <w:sz w:val="20"/>
          <w:u w:val="single"/>
        </w:rPr>
        <w:t>Section 8.11</w:t>
      </w:r>
      <w:r>
        <w:rPr>
          <w:rFonts w:ascii="Times New Roman" w:hAnsi="Times New Roman"/>
          <w:sz w:val="20"/>
        </w:rPr>
        <w:t xml:space="preserve"> that are in effect at such time; </w:t>
      </w:r>
    </w:p>
    <w:p>
      <w:pPr>
        <w:pStyle w:val="TextBody"/>
        <w:bidi w:val="0"/>
        <w:spacing w:before="240" w:after="0"/>
        <w:jc w:val="left"/>
        <w:rPr>
          <w:rFonts w:ascii="Times New Roman" w:hAnsi="Times New Roman"/>
          <w:sz w:val="20"/>
        </w:rPr>
      </w:pPr>
      <w:r>
        <w:rPr>
          <w:rFonts w:ascii="Times New Roman" w:hAnsi="Times New Roman"/>
          <w:sz w:val="20"/>
        </w:rPr>
        <w:t xml:space="preserve">(d) (i) Indebtedness (other than Indebtedness of the type described in clauses (c), (e) and (f) of this definition) that is recourse to the Borrower Parties on an unsecured basis, (ii) Disqualified Capital Stock (including preferred Capital Stock which constitutes or is convertible into Disqualified Capital Stock) of any Borrower Party that is unsecured and redemption, repurchase and exchange obligations in respect of such Disqualified Capital Stock, </w:t>
      </w:r>
      <w:r>
        <w:rPr>
          <w:rFonts w:ascii="Times New Roman" w:hAnsi="Times New Roman"/>
          <w:strike/>
          <w:color w:val="FF0000"/>
          <w:sz w:val="20"/>
        </w:rPr>
        <w:t xml:space="preserve">and </w:t>
      </w:r>
      <w:r>
        <w:rPr>
          <w:rFonts w:ascii="Times New Roman" w:hAnsi="Times New Roman"/>
          <w:sz w:val="20"/>
        </w:rPr>
        <w:t>(iii) Indebtedness that may be converted into or exchanged for any Capital Stock (including Disqualified Capital Stock) of the Borrower Parties that is unsecured</w:t>
      </w:r>
      <w:r>
        <w:rPr>
          <w:rFonts w:ascii="Times New Roman" w:hAnsi="Times New Roman"/>
          <w:strike/>
          <w:color w:val="FF0000"/>
          <w:sz w:val="20"/>
        </w:rPr>
        <w:t>, in an aggregate outstanding principal amount under this clause (d) not to exceed $550,000,000</w:t>
      </w:r>
      <w:r>
        <w:rPr>
          <w:rFonts w:ascii="Times New Roman" w:hAnsi="Times New Roman"/>
          <w:color w:val="0000FF"/>
          <w:sz w:val="20"/>
          <w:u w:val="single"/>
          <w:bdr w:val="double" w:sz="2" w:space="1" w:color="000000"/>
        </w:rPr>
        <w:t xml:space="preserve"> and (iv) Qualified Convertible Indebtedness</w:t>
      </w:r>
      <w:r>
        <w:rPr>
          <w:rFonts w:ascii="Times New Roman" w:hAnsi="Times New Roman"/>
          <w:sz w:val="20"/>
        </w:rPr>
        <w:t xml:space="preserve">; provided that (A) after giving effect thereto, the Borrower Parties maintain compliance with the financial covenants set forth in </w:t>
      </w:r>
      <w:r>
        <w:rPr>
          <w:rFonts w:ascii="Times New Roman" w:hAnsi="Times New Roman"/>
          <w:sz w:val="20"/>
          <w:u w:val="single"/>
        </w:rPr>
        <w:t>Section 8.11</w:t>
      </w:r>
      <w:r>
        <w:rPr>
          <w:rFonts w:ascii="Times New Roman" w:hAnsi="Times New Roman"/>
          <w:sz w:val="20"/>
        </w:rPr>
        <w:t xml:space="preserve"> that are in effect at such time and (B) Indebtedness of a Borrower Party which is attributable to a non-Wholly-Owned Subsidiary or Joint Venture will be equal to the amount that such Borrower Party may be liable for (i.e., on a recourse basis to such Borrower Party) pursuant to the relevant guaranty or other applicable agreement (without taking into account any offset by any non-Affiliated Person’s joint and several liability or contribution or indemnification obligations with respect thereto unless such non-Affiliated Person (x) is listed on </w:t>
      </w:r>
      <w:r>
        <w:rPr>
          <w:rFonts w:ascii="Times New Roman" w:hAnsi="Times New Roman"/>
          <w:sz w:val="20"/>
          <w:u w:val="single"/>
        </w:rPr>
        <w:t>Schedule 8.21</w:t>
      </w:r>
      <w:r>
        <w:rPr>
          <w:rFonts w:ascii="Times New Roman" w:hAnsi="Times New Roman"/>
          <w:sz w:val="20"/>
        </w:rPr>
        <w:t xml:space="preserve">, (y) has delivered a letter of credit, cash or Cash Equivalents to secure all or any part of such non-Affiliated Person’s guaranteed obligations or (z) holds an investment grade credit rating from either Moody’s or S&amp;P);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obligations with respect to Capital Stock including preferred Capital Stock (other than Disqualified Capital Stock) that is required to be accounted for as Indebtedness in accordance with GAAP and redemption, repurchase and exchange obligations in respect of such Capital Stock and other Capital Stock (other than Disqualified Capital Stock) to the extent such other Capital Stock is not prohibited hereunder; provided that after giving effect thereto, the Borrower Parties maintain compliance with the financial covenants set forth in </w:t>
      </w:r>
      <w:r>
        <w:rPr>
          <w:rFonts w:ascii="Times New Roman" w:hAnsi="Times New Roman"/>
          <w:sz w:val="20"/>
          <w:u w:val="single"/>
        </w:rPr>
        <w:t>Section 8.11</w:t>
      </w:r>
      <w:r>
        <w:rPr>
          <w:rFonts w:ascii="Times New Roman" w:hAnsi="Times New Roman"/>
          <w:sz w:val="20"/>
        </w:rPr>
        <w:t xml:space="preserve"> that are in effect at such time; and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listed on </w:t>
      </w:r>
      <w:r>
        <w:rPr>
          <w:rFonts w:ascii="Times New Roman" w:hAnsi="Times New Roman"/>
          <w:sz w:val="20"/>
          <w:u w:val="single"/>
        </w:rPr>
        <w:t>Schedule 8.2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b/>
          <w:strike/>
          <w:color w:val="FF0000"/>
          <w:sz w:val="20"/>
        </w:rPr>
        <w:t>(i)</w:t>
      </w:r>
      <w:r>
        <w:rPr>
          <w:rFonts w:ascii="Times New Roman" w:hAnsi="Times New Roman"/>
          <w:sz w:val="20"/>
        </w:rPr>
        <w:t xml:space="preserve"> Investments (x) in </w:t>
      </w:r>
      <w:r>
        <w:rPr>
          <w:rFonts w:ascii="Times New Roman" w:hAnsi="Times New Roman"/>
          <w:strike/>
          <w:color w:val="FF0000"/>
          <w:sz w:val="20"/>
        </w:rPr>
        <w:t>individual</w:t>
      </w:r>
      <w:r>
        <w:rPr>
          <w:rFonts w:ascii="Times New Roman" w:hAnsi="Times New Roman"/>
          <w:color w:val="0000FF"/>
          <w:sz w:val="20"/>
          <w:u w:val="single"/>
          <w:bdr w:val="double" w:sz="2" w:space="1" w:color="000000"/>
        </w:rPr>
        <w:t>one or more</w:t>
      </w:r>
      <w:r>
        <w:rPr>
          <w:rFonts w:ascii="Times New Roman" w:hAnsi="Times New Roman"/>
          <w:sz w:val="20"/>
        </w:rPr>
        <w:t xml:space="preserve"> Projects (including, for the avoidance of doubt, (A) any </w:t>
      </w:r>
      <w:r>
        <w:rPr>
          <w:rFonts w:ascii="Times New Roman" w:hAnsi="Times New Roman"/>
          <w:strike/>
          <w:color w:val="FF0000"/>
          <w:sz w:val="20"/>
        </w:rPr>
        <w:t>individual</w:t>
      </w:r>
      <w:r>
        <w:rPr>
          <w:rFonts w:ascii="Times New Roman" w:hAnsi="Times New Roman"/>
          <w:sz w:val="20"/>
        </w:rPr>
        <w:t xml:space="preserve"> Projects in which any Macerich Entity is already an investor and (B) any new </w:t>
      </w:r>
      <w:r>
        <w:rPr>
          <w:rFonts w:ascii="Times New Roman" w:hAnsi="Times New Roman"/>
          <w:strike/>
          <w:color w:val="FF0000"/>
          <w:sz w:val="20"/>
        </w:rPr>
        <w:t>individual Projects), including new Subsidiaries, Joint Ventures or non-Wholly-Owned Subsidiaries and loans to Joint-Ventures and non-Wholly Owned Subsidiaries (or the unaffiliated equityholders in a Joint Venture or non-Wholly-Owned Subsidiary), in connection with the funding of capital needs where the unaffiliated equityholders thereof are not obligated to fund the same, or fail to fund the same in default of their obligations, or (y) pursuant to which a Macerich Entity acquires Capital Stock in one or more Joint Ventures or non-Wholly-Owned Subsidiaries in which a Macerich Entity is already an investor and which own an individual Project; provided that any such Investment under this clause (i) that is made in a single transaction or series of related transactions and for which the Macerich Entities’ entitlement to the newly-acquired Property NOI is in an aggregate amount for such Investment that exceeds 10% of the aggregate Property NOI with respect to all Retail/Other Properties of the Macerich Entities for the four Fiscal Quarter period then most recently ended shall require the consent of the Administrative Agent and the Required Lenders; provided further that solely for the purposes of determining compliance with the immediately preceding proviso, any Investment under this clause (i) in the form of a loan shall be added to the equity capitalization of the applicable Joint Venture or Subsidiary and result in newly acquired Property NOI based on the increased percentage of the combined equity and equityholder loan capitalization of such Joint Venture or Subsidiary held by the Macerich Entities (for example, if the Macerich Entities own 50% of a Person with a total equity capitalization of $10,000,000 and make a loan to such Person or unaffiliated equityholders in such Person in an amount equal to $5,000,000 (resulting in the Macerich Entities holding two thirds of the total equity and equityholder loan capitalization of such Person), the Macerich Entities would be deemed to be entitled to two thirds of the Property NOI of such Person and have newly acquired one sixth of the Property NOI of such Person for purposes of the immediately preceding proviso (and not for any other purposes hereunder or under any other Loan Document unless the relevant documentation is to the contrary)), (ii) Investments (x) in one or more Portfolios of Two Projects (including, for the avoidance of doubt, (A) any Portfolio of Two Projects in which any Macerich Entity is already an investor and (B) any new Portfolio of Two Projects), including new Subsidiaries, Joint Ventures or non-Wholly-Owned Subsidiaries and loans to Joint-Ventures and non-Wholly Owned Subsidiaries (or the unaffiliated equityholders in a Joint Venture or non-Wholly-Owned Subsidiary) in connection with the funding of capital needs where the unaffiliated equityholders thereof are not obligated to fund the same, or fail to fund the same in default of their obligations or (y) pursuant to which a Macerich Entity acquires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 xml:space="preserve">Capital Stock in one or more Joint Ventures or non-Wholly-Owned Subsidiaries in which a Macerich Entity is already an investor and which own a Portfolio of Two Projects; provided that any single Investment under this clause (ii) that is made in a single transaction or series of related transactions and for which the Macerich Entities’ entitlement to the newly-acquired Property NOI is in an aggregate amount for such Investment that exceeds 15% of the aggregate Property NOI with respect to all Retail/Other Properties of the Macerich Entities for the four Fiscal Quarter period then most recently ended shall require the consent of the Administrative Agent and the Required Lenders; provided further that solely for the purposes of determining compliance with the immediately preceding proviso, any Investment under this clause (ii) in the form of a loan shall be added to the equity capitalization of the applicable Joint Venture or Subsidiary and result in newly acquired Property NOI based on the increased percentage of the combined equity and equityholder loan capitalization of such Joint Venture or Subsidiary held by the Macerich Entities (for example, if the Macerich Entities own 50% of a Person with a total equity capitalization of $10,000,000 and make a loan to such Person or unaffiliated equityholders in such Person in an amount equal to $5,000,000 (resulting in the Macerich Entities holding two thirds of the total equity and equityholder loan capitalization of such Person), the Macerich Entities would be deemed to be entitled to two thirds of the Property NOI of such Person and have newly acquired one sixth of the Property NOI of such Person for purposes of the immediately preceding proviso (and not for any other purposes hereunder or under any other Loan Document unless the relevant documentation is to the contrary)) and (iii) Investments (x) in one or more Portfolios of Three or More Projects (including, for the avoidance of doubt, (A) any Portfolio of Three or More Projects in which any Macerich Entity is already an investor and (B) any new Portfolio of Three or More </w:t>
      </w:r>
      <w:r>
        <w:rPr>
          <w:rFonts w:ascii="Times New Roman" w:hAnsi="Times New Roman"/>
          <w:sz w:val="20"/>
        </w:rPr>
        <w:t xml:space="preserve">Projects), including new Subsidiaries, Joint Ventures or non-Wholly-Owned Subsidiaries and loans to Joint-Ventures and non-Wholly Owned Subsidiaries (or the unaffiliated equityholders in a Joint Venture or non-Wholly-Owned Subsidiary), in connection with the funding of capital needs where the unaffiliated equityholders thereof are not obligated to fund the same, or fail to fund the same in default of their obligations or (y) pursuant to which a Macerich Entity acquires Capital Stock in one or more Joint Ventures or non-Wholly-Owned Subsidiaries in which a Macerich Entity is already an investor and which own a </w:t>
      </w:r>
      <w:r>
        <w:rPr>
          <w:rFonts w:ascii="Times New Roman" w:hAnsi="Times New Roman"/>
          <w:strike/>
          <w:color w:val="FF0000"/>
          <w:sz w:val="20"/>
        </w:rPr>
        <w:t>Portfolio of Three or More Projects</w:t>
      </w:r>
      <w:r>
        <w:rPr>
          <w:rFonts w:ascii="Times New Roman" w:hAnsi="Times New Roman"/>
          <w:color w:val="0000FF"/>
          <w:sz w:val="20"/>
          <w:u w:val="single"/>
          <w:bdr w:val="double" w:sz="2" w:space="1" w:color="000000"/>
        </w:rPr>
        <w:t>Project</w:t>
      </w:r>
      <w:r>
        <w:rPr>
          <w:rFonts w:ascii="Times New Roman" w:hAnsi="Times New Roman"/>
          <w:sz w:val="20"/>
        </w:rPr>
        <w:t xml:space="preserve">; provided that any </w:t>
      </w:r>
      <w:r>
        <w:rPr>
          <w:rFonts w:ascii="Times New Roman" w:hAnsi="Times New Roman"/>
          <w:strike/>
          <w:color w:val="FF0000"/>
          <w:sz w:val="20"/>
        </w:rPr>
        <w:t>single</w:t>
      </w:r>
      <w:r>
        <w:rPr>
          <w:rFonts w:ascii="Times New Roman" w:hAnsi="Times New Roman"/>
          <w:color w:val="0000FF"/>
          <w:sz w:val="20"/>
          <w:u w:val="single"/>
          <w:bdr w:val="double" w:sz="2" w:space="1" w:color="000000"/>
        </w:rPr>
        <w:t>such</w:t>
      </w:r>
      <w:r>
        <w:rPr>
          <w:rFonts w:ascii="Times New Roman" w:hAnsi="Times New Roman"/>
          <w:sz w:val="20"/>
        </w:rPr>
        <w:t xml:space="preserve"> Investment under this clause (</w:t>
      </w:r>
      <w:r>
        <w:rPr>
          <w:rFonts w:ascii="Times New Roman" w:hAnsi="Times New Roman"/>
          <w:strike/>
          <w:color w:val="FF0000"/>
          <w:sz w:val="20"/>
        </w:rPr>
        <w:t>iii</w:t>
      </w:r>
      <w:r>
        <w:rPr>
          <w:rFonts w:ascii="Times New Roman" w:hAnsi="Times New Roman"/>
          <w:color w:val="0000FF"/>
          <w:sz w:val="20"/>
          <w:u w:val="single"/>
          <w:bdr w:val="double" w:sz="2" w:space="1" w:color="000000"/>
        </w:rPr>
        <w:t>a</w:t>
      </w:r>
      <w:r>
        <w:rPr>
          <w:rFonts w:ascii="Times New Roman" w:hAnsi="Times New Roman"/>
          <w:sz w:val="20"/>
        </w:rPr>
        <w:t xml:space="preserve"> ) that is made in a single transaction or series of related transactions and for which the Macerich Entities’ entitlement to the newly-acquired Property NOI is in an aggregate amount for such Investment that exceeds 25% of the aggregate Property NOI with respect to all Retail/Other Properties of the Macerich Entities for the four Fiscal Quarter period then most recently ended shall require the consent of the Administrative Agent and the Required Lenders; provided further that solely for the purposes of determining compliance with the immediately preceding proviso, any Investment under this clause (</w:t>
      </w:r>
      <w:r>
        <w:rPr>
          <w:rFonts w:ascii="Times New Roman" w:hAnsi="Times New Roman"/>
          <w:strike/>
          <w:color w:val="FF0000"/>
          <w:sz w:val="20"/>
        </w:rPr>
        <w:t>iii</w:t>
      </w:r>
      <w:r>
        <w:rPr>
          <w:rFonts w:ascii="Times New Roman" w:hAnsi="Times New Roman"/>
          <w:color w:val="0000FF"/>
          <w:sz w:val="20"/>
          <w:u w:val="single"/>
          <w:bdr w:val="double" w:sz="2" w:space="1" w:color="000000"/>
        </w:rPr>
        <w:t>a</w:t>
      </w:r>
      <w:r>
        <w:rPr>
          <w:rFonts w:ascii="Times New Roman" w:hAnsi="Times New Roman"/>
          <w:sz w:val="20"/>
        </w:rPr>
        <w:t xml:space="preserve"> ) in the form of a loan shall be added to the equity capitalization of the applicable Joint Venture or Subsidiary and result in newly acquired Property NOI based on the increased percentage of the combined equity and equityholder loan capitalization of such Joint Venture or Subsidiary held by the Macerich Entities (for example, if the Macerich Entities own 50% of a Person with a total equity capitalization of $10,000,000 and make a loan to such Person or unaffiliated equityholders in such Person in an amount equal to $5,000,000 (resulting in the Macerich Entities holding two thirds of the total equity and equityholder loan capitalization of such Person), the Macerich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Entities would be deemed to be entitled to two thirds of the Property NOI of such Person and have newly acquired one sixth of the Property NOI of such Person for purposes of the immediately preceding proviso (and not for any other purposes hereunder or under any other Loan Document unless the relevant documentation is to the contrary)); provided further that, with respect to any acquisition of (1) additional Capital Stock in a Joint Venture or non-Wholly-Owned Subsidiary in which a Macerich Entity is already an investor or (2) Capital Stock in a new Joint Venture or non-Wholly-Owned Subsidiary that owns an interest in a Project in which a Macerich Entity is already an investor, in each case of clauses (1) and (2), the Borrower shall use commercially reasonable efforts to obtain approval, if needed, from the applicable Joint Venture or non-Wholly-Owned Subsidiary partners, underlying mortgage lender and/or ground lessee, as applicable, to permit a pledge of the applicable Capital Stock in order to cause such Capital Stock to constitute a Borrowing Base Equity Interest Asset (if such Capital Stock satisfies the applicable Borrowing Base Criteria), a Borrowing Base Unencumbered Equity Interest Asset (if such Capital Stock satisfies the applicable Borrowing Base Criteria) or an Additional Equity Interest Asset (if such Capital Stock does not satisfy the applicable Borrowing Base Criteria), and if such approval is not required or is obtained, such Capital Stock shall be added by the Borrower as a Borrowing Base Equity Interest Asset (if such Capital Stock satisfies the applicable Borrowing Base Criteria), or an Additional Equity Interest Asset (if such Capital Stock does not satisfy the applicable Borrowing Base Criteria), as applicable, in accordance with </w:t>
      </w:r>
      <w:r>
        <w:rPr>
          <w:rFonts w:ascii="Times New Roman" w:hAnsi="Times New Roman"/>
          <w:sz w:val="20"/>
          <w:u w:val="single"/>
        </w:rPr>
        <w:t>Section 7.14</w:t>
      </w:r>
      <w:r>
        <w:rPr>
          <w:rFonts w:ascii="Times New Roman" w:hAnsi="Times New Roman"/>
          <w:sz w:val="20"/>
        </w:rPr>
        <w:t xml:space="preserve"> and/or </w:t>
      </w:r>
      <w:r>
        <w:rPr>
          <w:rFonts w:ascii="Times New Roman" w:hAnsi="Times New Roman"/>
          <w:sz w:val="20"/>
          <w:u w:val="single"/>
        </w:rPr>
        <w:t>Section 7.18</w:t>
      </w:r>
      <w:r>
        <w:rPr>
          <w:rFonts w:ascii="Times New Roman" w:hAnsi="Times New Roman"/>
          <w:sz w:val="20"/>
        </w:rPr>
        <w:t xml:space="preserve">, as applicable, within thirty (30) days (or such later date as may be agreed to by the Administrative Agent in its sole discretion) after (x) the date of acquisition thereof (if no approvals are required) or (y) the date the required approvals are obtained (if such approvals are required); provided further that if such approval is required but not obtained after the Borrower’s use of commercially reasonable efforts, the Investment is still permitted, but the acquired Capital Stock shall not be required to become a Borrowing Base Equity Interest Asset (if such Capital Stock satisfies the applicable Borrowing Base Criteria), or an Additional Equity Interest Asset (if such Capital Stock does not satisfy the applicable Borrowing Base Criteria), as applicable, pursuant to this clause (a); </w:t>
      </w:r>
    </w:p>
    <w:p>
      <w:pPr>
        <w:pStyle w:val="TextBody"/>
        <w:bidi w:val="0"/>
        <w:spacing w:before="240" w:after="0"/>
        <w:jc w:val="left"/>
        <w:rPr>
          <w:rFonts w:ascii="Times New Roman" w:hAnsi="Times New Roman"/>
          <w:sz w:val="20"/>
        </w:rPr>
      </w:pPr>
      <w:r>
        <w:rPr>
          <w:rFonts w:ascii="Times New Roman" w:hAnsi="Times New Roman"/>
          <w:sz w:val="20"/>
        </w:rPr>
        <w:t xml:space="preserve">(b) Investments consisting of seller notes and other seller financings provided by a Borrower Party or any Subsidiary thereof to a Person who is not an Affiliate of a Borrower Party in connection with a Disposition to such Person so long as (i) such Disposition is otherwise permitted under the Loan Documents (or not otherwise prohibited under the Loan Documents) and (ii) if such Disposition is a Disposition of Collateral, the sole payees in respect of such seller notes or other seller financings are Borrower Parties (or, if such Subsidiary is the seller of such Collateral, a Subsidiary of a Borrower Party); </w:t>
      </w:r>
    </w:p>
    <w:p>
      <w:pPr>
        <w:pStyle w:val="TextBody"/>
        <w:bidi w:val="0"/>
        <w:spacing w:before="240" w:after="0"/>
        <w:jc w:val="left"/>
        <w:rPr>
          <w:rFonts w:ascii="Times New Roman" w:hAnsi="Times New Roman"/>
          <w:sz w:val="20"/>
        </w:rPr>
      </w:pPr>
      <w:r>
        <w:rPr>
          <w:rFonts w:ascii="Times New Roman" w:hAnsi="Times New Roman"/>
          <w:sz w:val="20"/>
        </w:rPr>
        <w:t xml:space="preserve">(c) Investments consisting of first lien priority Mortgage Loans, mezzanine loans, preferred equity, commercial mortgage backed securities and the public or private Indebtedness of other real estate companies acquired by the Borrower, MAC or any Wholly-Owned Subsidiary of MAC that are pledged to the Collateral Agent as Collateral for the Secured Obligations pursuant to the Pledge Agreement within thirty (30) days after the acquisition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Investments pursuant to which a Borrower Party or any Subsidiary thereof acquires the Capital Stock in a Joint Venture or non-Wholly-Owned Subsidiary (or all or a portion of the assets of any such Joint Venture or non-Wholly-Owned Subsidiary) in which a Borrower Party or any Subsidiary thereof is already an investor solely to the extent (x) in response to, or in anticipation of (as reasonably determined by the Borrower acting in good faith (and not for purposes of otherwise circumventing the limitations described in clause (a) above)), (i) a proposed sale, buy-sell, or forced sale of the assets owned by such Joint Venture or non-Wholly-Owned Subsidiary, or similar rights exercised by the un-Affiliated equityholders, by the other un-Affiliated equityholders of such Joint Venture or non-Wholly-Owned Subsidiary or (ii) a default by the un-Affiliated equityholders of such Joint Venture or non-Wholly-Owned Subsidiary under its organizational documents or loan agreement or the bankruptcy or insolvency of the un-Affiliated equityholders of such Joint Venture or non-Wholly-Owned Subsidiary or (y) as required by the terms of the Joint Venture’s or non-Wholly-Owned Subsidiary’s organizational documents (so long as such requirement in such organizational documents was not created for purposes of circumventing the limitations described in clause (a) above); provided that the Borrower shall use commercially reasonable efforts to obtain approval, if needed, from the applicable Joint Venture or non-Wholly-Owned Subsidiary equityholders, underlying mortgage lender and/or ground lessee, as applicable, to permit a pledge of the applicable Capital Stock in order to cause such Capital Stock to constitute a Borrowing Base Equity Interest Asset (if such Capital Stock satisfies the applicable Borrowing Base Criteria), or an Additional Equity Interest Asset (if such Capital Stock does not satisfy the applicable Borrowing Base Criteria), and if such approval is not required or is obtained, such Capital Stock shall be added by the Borrower as a Borrowing Base Equity Interest Asset (if such Capital Stock satisfies the applicable Borrowing Base Criteria), or an Additional Equity Interest Asset (if such Capital Stock does not satisfy the applicable Borrowing Base Criteria), as applicable, in accordance with </w:t>
      </w:r>
      <w:r>
        <w:rPr>
          <w:rFonts w:ascii="Times New Roman" w:hAnsi="Times New Roman"/>
          <w:sz w:val="20"/>
          <w:u w:val="single"/>
        </w:rPr>
        <w:t>Section 7.14</w:t>
      </w:r>
      <w:r>
        <w:rPr>
          <w:rFonts w:ascii="Times New Roman" w:hAnsi="Times New Roman"/>
          <w:sz w:val="20"/>
        </w:rPr>
        <w:t xml:space="preserve"> and/or </w:t>
      </w:r>
      <w:r>
        <w:rPr>
          <w:rFonts w:ascii="Times New Roman" w:hAnsi="Times New Roman"/>
          <w:sz w:val="20"/>
          <w:u w:val="single"/>
        </w:rPr>
        <w:t>Section 7.18</w:t>
      </w:r>
      <w:r>
        <w:rPr>
          <w:rFonts w:ascii="Times New Roman" w:hAnsi="Times New Roman"/>
          <w:sz w:val="20"/>
        </w:rPr>
        <w:t xml:space="preserve">, as applicable, within thirty (30) days (or such later date as may be agreed to by the Administrative Agent in its sole discretion) after (x) the date of acquisition thereof (if no approvals are required) or (y) the date the required approvals are obtained (if such approvals are required); provided further that if such approval is required but not obtained after the Borrower’s use of commercially reasonable efforts, the Investment is still permitted, but the acquired Capital Stock shall not be required to become a Borrowing Base Equity Interest Asset (if such Capital Stock satisfies the applicable Borrowing Base Criteria), a Borrowing Base Unencumbered Equity Interest Asset (if such Capital Stock satisfies the applicable Borrowing Base Criteria) or an Additional Equity Interest Asset (if such Capital Stock does not satisfy the applicable Borrowing Base Criteria), as applicable, pursuant to this clause (d); </w:t>
      </w:r>
    </w:p>
    <w:p>
      <w:pPr>
        <w:pStyle w:val="TextBody"/>
        <w:bidi w:val="0"/>
        <w:spacing w:before="240" w:after="0"/>
        <w:jc w:val="left"/>
        <w:rPr>
          <w:rFonts w:ascii="Times New Roman" w:hAnsi="Times New Roman"/>
          <w:sz w:val="20"/>
        </w:rPr>
      </w:pPr>
      <w:r>
        <w:rPr>
          <w:rFonts w:ascii="Times New Roman" w:hAnsi="Times New Roman"/>
          <w:sz w:val="20"/>
        </w:rPr>
        <w:t xml:space="preserve">(e) Investments in the nature of asset swaps with existing partners; provided that, in the case of an asset swap in which Capital Stock is received by the Macerich Entities, the Borrower shall use commercially reasonable efforts to obtain approval, if needed, from the applicable Joint Venture or non-Wholly-Owned Subsidiary partners, underlying mortgage lender and/or ground lessee, as applicable, to permit a pledge of the applicable Capital Stock in order to cause such Capital Stock to constitute a Borrowing Base Equity Interest Asset (if such Capital Stock satisfies the applicable Borrowing Base Criteria), or an Additional Equity Interest Asset (if such Capital Stock does not satisfy the applicable Borrowing Base Criteria), and if such approval is not required or is obtained, such Capital Stock shall be added by the Borrower as a Borrowing Base Equity Interest Asset (if such Capital Stock satisfies the applicable Borrowing Base Criteria), or an Additional Equity Interest Asset (if such Capital Stock does not satisfy the applicable Borrowing Base Criteria), as applicable, in accordance with </w:t>
      </w:r>
      <w:r>
        <w:rPr>
          <w:rFonts w:ascii="Times New Roman" w:hAnsi="Times New Roman"/>
          <w:sz w:val="20"/>
          <w:u w:val="single"/>
        </w:rPr>
        <w:t>Section 7.14</w:t>
      </w:r>
      <w:r>
        <w:rPr>
          <w:rFonts w:ascii="Times New Roman" w:hAnsi="Times New Roman"/>
          <w:sz w:val="20"/>
        </w:rPr>
        <w:t xml:space="preserve"> and/or </w:t>
      </w:r>
      <w:r>
        <w:rPr>
          <w:rFonts w:ascii="Times New Roman" w:hAnsi="Times New Roman"/>
          <w:sz w:val="20"/>
          <w:u w:val="single"/>
        </w:rPr>
        <w:t>Section 7.18</w:t>
      </w:r>
      <w:r>
        <w:rPr>
          <w:rFonts w:ascii="Times New Roman" w:hAnsi="Times New Roman"/>
          <w:sz w:val="20"/>
        </w:rPr>
        <w:t xml:space="preserve">, as applicable, within thirty (30) days (or such later date as may be agreed to by the Administrative Agent in its sole discretion) after (x) the date of acquisition thereof (if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approvals are required) or (y) the date the required approvals are obtained (if such approvals are required); provided further that if such approval is required but not obtained after the Borrower’s use of commercially reasonable efforts, the Investment is still permitted, but the acquired Capital Stock shall not be required to become a Borrowing Base Equity Interest Asset (if such Capital Stock satisfies the applicable Borrowing Base Criteria), or an Additional Equity Interest Asset (if such Capital Stock does not satisfy the applicable Borrowing Base Criteria), as applicable, pursuant to this clause (e); </w:t>
      </w:r>
    </w:p>
    <w:p>
      <w:pPr>
        <w:pStyle w:val="TextBody"/>
        <w:bidi w:val="0"/>
        <w:spacing w:before="240" w:after="0"/>
        <w:jc w:val="left"/>
        <w:rPr>
          <w:rFonts w:ascii="Times New Roman" w:hAnsi="Times New Roman"/>
          <w:sz w:val="20"/>
        </w:rPr>
      </w:pPr>
      <w:r>
        <w:rPr>
          <w:rFonts w:ascii="Times New Roman" w:hAnsi="Times New Roman"/>
          <w:sz w:val="20"/>
        </w:rPr>
        <w:t xml:space="preserve">(f) Investments in development and capital expenditures (including Investments in Land and Investments in Real Property Under Construction); </w:t>
      </w:r>
    </w:p>
    <w:p>
      <w:pPr>
        <w:pStyle w:val="TextBody"/>
        <w:bidi w:val="0"/>
        <w:spacing w:before="240" w:after="0"/>
        <w:jc w:val="left"/>
        <w:rPr>
          <w:rFonts w:ascii="Times New Roman" w:hAnsi="Times New Roman"/>
          <w:sz w:val="20"/>
        </w:rPr>
      </w:pPr>
      <w:r>
        <w:rPr>
          <w:rFonts w:ascii="Times New Roman" w:hAnsi="Times New Roman"/>
          <w:sz w:val="20"/>
        </w:rPr>
        <w:t xml:space="preserve">(g) [reserved]; </w:t>
      </w:r>
    </w:p>
    <w:p>
      <w:pPr>
        <w:pStyle w:val="TextBody"/>
        <w:bidi w:val="0"/>
        <w:spacing w:before="240" w:after="0"/>
        <w:jc w:val="left"/>
        <w:rPr>
          <w:rFonts w:ascii="Times New Roman" w:hAnsi="Times New Roman"/>
          <w:sz w:val="20"/>
        </w:rPr>
      </w:pPr>
      <w:r>
        <w:rPr>
          <w:rFonts w:ascii="Times New Roman" w:hAnsi="Times New Roman"/>
          <w:sz w:val="20"/>
        </w:rPr>
        <w:t xml:space="preserve">(h) Investments in connection with Permitted Indebtedness, including the repayment or defeasance thereof; </w:t>
      </w:r>
    </w:p>
    <w:p>
      <w:pPr>
        <w:pStyle w:val="TextBody"/>
        <w:bidi w:val="0"/>
        <w:spacing w:before="240" w:after="0"/>
        <w:jc w:val="left"/>
        <w:rPr>
          <w:rFonts w:ascii="Times New Roman" w:hAnsi="Times New Roman"/>
          <w:sz w:val="20"/>
        </w:rPr>
      </w:pPr>
      <w:r>
        <w:rPr>
          <w:rFonts w:ascii="Times New Roman" w:hAnsi="Times New Roman"/>
          <w:sz w:val="20"/>
        </w:rPr>
        <w:t xml:space="preserve">(i) Investments consisting of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(j) Investments that are existing, committed and/or contemplated as of the Closing Date and, in each case, set forth on </w:t>
      </w:r>
      <w:r>
        <w:rPr>
          <w:rFonts w:ascii="Times New Roman" w:hAnsi="Times New Roman"/>
          <w:sz w:val="20"/>
          <w:u w:val="single"/>
        </w:rPr>
        <w:t>Schedule 8.5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Investments in a “taxable REIT Subsidiary” for purposes of maintaining the Company’s tax status as a REIT;</w:t>
      </w:r>
      <w:r>
        <w:rPr>
          <w:rFonts w:ascii="Times New Roman" w:hAnsi="Times New Roman"/>
          <w:strike/>
          <w:color w:val="FF0000"/>
          <w:sz w:val="20"/>
        </w:rPr>
        <w:t xml:space="preserve"> and</w:t>
      </w:r>
      <w:r>
        <w:rPr>
          <w:rFonts w:ascii="Times New Roman" w:hAnsi="Times New Roman"/>
          <w:color w:val="FF0000"/>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(l)</w:t>
      </w:r>
      <w:r>
        <w:rPr>
          <w:rFonts w:ascii="Times New Roman" w:hAnsi="Times New Roman"/>
          <w:color w:val="0000FF"/>
          <w:sz w:val="20"/>
          <w:u w:val="single"/>
          <w:bdr w:val="double" w:sz="2" w:space="1" w:color="000000"/>
        </w:rPr>
        <w:t xml:space="preserve"> Investments in connection with (including, for the avoidance of doubt, the entry into, payment of any premium with respect to, and the settlement or unwind of) any Qualified Bond Hedge Transaction, Qualified Warrant Transaction, Qualified Convertible Indebtedness, or other Permitted Indebtedness, including any repayment, redemption, repurchase or exchange (including the issuance of Capital Stock of MAC in settlement of any exchange right) thereof or with respect thereto; and</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(m)(l)</w:t>
      </w:r>
      <w:r>
        <w:rPr>
          <w:rFonts w:ascii="Times New Roman" w:hAnsi="Times New Roman"/>
          <w:sz w:val="20"/>
        </w:rPr>
        <w:t xml:space="preserve"> other Investments in an aggregate outstanding amount not to exceed $</w:t>
      </w:r>
      <w:r>
        <w:rPr>
          <w:rFonts w:ascii="Times New Roman" w:hAnsi="Times New Roman"/>
          <w:strike/>
          <w:color w:val="FF0000"/>
          <w:sz w:val="20"/>
        </w:rPr>
        <w:t>150,000,000</w:t>
      </w:r>
      <w:r>
        <w:rPr>
          <w:rFonts w:ascii="Times New Roman" w:hAnsi="Times New Roman"/>
          <w:color w:val="0000FF"/>
          <w:sz w:val="20"/>
          <w:u w:val="single"/>
          <w:bdr w:val="double" w:sz="2" w:space="1" w:color="000000"/>
        </w:rPr>
        <w:t>250,000,000</w:t>
      </w:r>
      <w:r>
        <w:rPr>
          <w:rFonts w:ascii="Times New Roman" w:hAnsi="Times New Roman"/>
          <w:sz w:val="20"/>
        </w:rPr>
        <w:t xml:space="preserve"> .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shall mean Liens permitted under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mean any corporation, natural person, firm, joint venture, partnership, trust, unincorporated organization, government or any department or agency of any government.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shall mean any “employee benefit plan” (as defined in Section 3(3) of ERISA) which any Consolidated Entity or any ERISA Affiliate establishes, sponsors or maintains or to which any Consolidated Entity or any ERISA Affiliate makes, is making, or is obligated to make contributions, or with respect to which any Consolidated Entity or any ERISA Affiliate may have any liability (whether actual or contingent), but excluding any Multiemployer Plan.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as defined in</w:t>
      </w:r>
      <w:r>
        <w:rPr>
          <w:rFonts w:ascii="Times New Roman" w:hAnsi="Times New Roman"/>
          <w:sz w:val="20"/>
          <w:u w:val="single"/>
        </w:rPr>
        <w:t xml:space="preserve"> Section 11.6(4)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Pledge Agreement</w:t>
      </w:r>
      <w:r>
        <w:rPr>
          <w:rFonts w:ascii="Times New Roman" w:hAnsi="Times New Roman"/>
          <w:sz w:val="20"/>
        </w:rPr>
        <w:t xml:space="preserve">” shall mean the Second Amended and Restated Pledge and Security Agreement dated as of the Closing Date made by the Pledgors in favor of the Collateral Agent in substantially the form of </w:t>
      </w:r>
      <w:r>
        <w:rPr>
          <w:rFonts w:ascii="Times New Roman" w:hAnsi="Times New Roman"/>
          <w:sz w:val="20"/>
          <w:u w:val="single"/>
        </w:rPr>
        <w:t>Exhibit D</w:t>
      </w:r>
      <w:r>
        <w:rPr>
          <w:rFonts w:ascii="Times New Roman" w:hAnsi="Times New Roman"/>
          <w:sz w:val="20"/>
        </w:rPr>
        <w:t xml:space="preserve">, as the same may be Modified from time to time. </w:t>
      </w:r>
    </w:p>
    <w:p>
      <w:pPr>
        <w:pStyle w:val="TextBody"/>
        <w:bidi w:val="0"/>
        <w:spacing w:before="240" w:after="0"/>
        <w:jc w:val="left"/>
        <w:rPr/>
      </w:pPr>
      <w:r>
        <w:rPr/>
        <w:t>“</w:t>
      </w:r>
      <w:r>
        <w:rPr>
          <w:rFonts w:ascii="Times New Roman" w:hAnsi="Times New Roman"/>
          <w:sz w:val="20"/>
          <w:u w:val="single"/>
        </w:rPr>
        <w:t>Pledged Equity Interests</w:t>
      </w:r>
      <w:r>
        <w:rPr>
          <w:rFonts w:ascii="Times New Roman" w:hAnsi="Times New Roman"/>
          <w:sz w:val="20"/>
        </w:rPr>
        <w:t xml:space="preserve">” shall mean the Capital Stock pledged by the Pledgors in favor of the Collateral Agent pursuant to the Pledge Agreement. </w:t>
      </w:r>
    </w:p>
    <w:p>
      <w:pPr>
        <w:pStyle w:val="TextBody"/>
        <w:bidi w:val="0"/>
        <w:spacing w:before="240" w:after="0"/>
        <w:jc w:val="left"/>
        <w:rPr/>
      </w:pPr>
      <w:r>
        <w:rPr/>
        <w:t>“</w:t>
      </w:r>
      <w:r>
        <w:rPr>
          <w:rFonts w:ascii="Times New Roman" w:hAnsi="Times New Roman"/>
          <w:sz w:val="20"/>
          <w:u w:val="single"/>
        </w:rPr>
        <w:t>Pledgors</w:t>
      </w:r>
      <w:r>
        <w:rPr>
          <w:rFonts w:ascii="Times New Roman" w:hAnsi="Times New Roman"/>
          <w:sz w:val="20"/>
        </w:rPr>
        <w:t xml:space="preserve">” shall have the meaning set forth in the Pledge Agreement. </w:t>
      </w:r>
    </w:p>
    <w:p>
      <w:pPr>
        <w:pStyle w:val="TextBody"/>
        <w:bidi w:val="0"/>
        <w:spacing w:before="240" w:after="0"/>
        <w:jc w:val="left"/>
        <w:rPr/>
      </w:pPr>
      <w:r>
        <w:rPr>
          <w:strike/>
          <w:color w:val="FF0000"/>
        </w:rPr>
        <w:t>“</w:t>
      </w:r>
      <w:r>
        <w:rPr>
          <w:rFonts w:ascii="Times New Roman" w:hAnsi="Times New Roman"/>
          <w:strike/>
          <w:color w:val="FF0000"/>
          <w:sz w:val="20"/>
          <w:u w:val="single"/>
        </w:rPr>
        <w:t>Portfolio of Two Projects</w:t>
      </w:r>
      <w:r>
        <w:rPr>
          <w:rFonts w:ascii="Times New Roman" w:hAnsi="Times New Roman"/>
          <w:strike/>
          <w:color w:val="FF0000"/>
          <w:sz w:val="20"/>
        </w:rPr>
        <w:t>” shall mean a portfolio of two Projects (excluding, solely for purposes of determining whether such portfolio consists of two Projects, outparcels) that (a) with respect to Investments by the Macerich Entities pursuant to clause (a)(ii)(x) of the definition of Permitted Investment, are acquired in a single transaction or series of related transactions from a single Person or from multiple Persons who are Affiliates of each other and (b) with respect to Investments by the Macerich Entities pursuant to clause (a)(ii)(y) of the definition of Permitted Investment, are owned by a single Person or multiple Persons who are Affiliates of each other.</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u w:val="single"/>
        </w:rPr>
        <w:t>Portfolio of Three or More Projects</w:t>
      </w:r>
      <w:r>
        <w:rPr>
          <w:rFonts w:ascii="Times New Roman" w:hAnsi="Times New Roman"/>
          <w:strike/>
          <w:color w:val="FF0000"/>
          <w:sz w:val="20"/>
        </w:rPr>
        <w:t>” shall mean a portfolio of three or more Projects (excluding solely for purposes of determining whether such portfolio consists of three or more Projects, outparcels) that (a) with respect to Investments by the Macerich Entities pursuant to clause (a)(iii)(x) of the definition of Permitted Investment, are acquired in a single transaction or series of related transactions from a single Person or from multiple Persons who are Affiliates of each other and (b) with respect to Investments by the Macerich Entities pursuant to clause (a)(iii)(y) of the definition of Permitted Investment, are owned by a single Person or multiple Persons who are Affiliates of each other.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Potential Default</w:t>
      </w:r>
      <w:r>
        <w:rPr>
          <w:rFonts w:ascii="Times New Roman" w:hAnsi="Times New Roman"/>
          <w:sz w:val="20"/>
        </w:rPr>
        <w:t xml:space="preserve">” shall mean an event which but for the lapse of time or the giving of notice, or both, would constitute an Event of Default.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shall mean the fluctuating per annum rate announced from time to time by DBNY or any successor Administrative Agent at its principal office in New York, New York as its “prime rate”; provided, that if the “prime rate” (as determined above) would be less than 0.00%, then the Prime Rate shall be deemed to be 0.00%. The Prime Rate is a rate set by DBNY as one of its base rates and serves as the basis upon which effective rates of interest are calculated for those loans making reference thereto, and is evidenced by the recording thereof after its announcement in such internal publication or publications as DBNY may designate. The Prime Rate is not tied to any external index and does not necessarily represent the lowest or best rate of interest actually charged to any class or category of customers. Each change in the Prime Rate will be effective on the day the change is announced within DBNY. </w:t>
      </w:r>
    </w:p>
    <w:p>
      <w:pPr>
        <w:pStyle w:val="TextBody"/>
        <w:bidi w:val="0"/>
        <w:spacing w:before="240" w:after="0"/>
        <w:jc w:val="left"/>
        <w:rPr/>
      </w:pPr>
      <w:r>
        <w:rPr/>
        <w:t>“</w:t>
      </w:r>
      <w:r>
        <w:rPr>
          <w:rFonts w:ascii="Times New Roman" w:hAnsi="Times New Roman"/>
          <w:sz w:val="20"/>
          <w:u w:val="single"/>
        </w:rPr>
        <w:t>Prohibited Person</w:t>
      </w:r>
      <w:r>
        <w:rPr>
          <w:rFonts w:ascii="Times New Roman" w:hAnsi="Times New Roman"/>
          <w:sz w:val="20"/>
        </w:rPr>
        <w:t xml:space="preserve">” shall have the meaning given such term in </w:t>
      </w:r>
      <w:r>
        <w:rPr>
          <w:rFonts w:ascii="Times New Roman" w:hAnsi="Times New Roman"/>
          <w:sz w:val="20"/>
          <w:u w:val="single"/>
        </w:rPr>
        <w:t>Section 6.26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Project</w:t>
      </w:r>
      <w:r>
        <w:rPr>
          <w:rFonts w:ascii="Times New Roman" w:hAnsi="Times New Roman"/>
          <w:sz w:val="20"/>
        </w:rPr>
        <w:t>” shall mean any shopping center, retail property, office building, mixed use property or other income producing project owned or controlled, directly or indirectly by a Macerich Entity. “</w:t>
      </w:r>
      <w:r>
        <w:rPr>
          <w:rFonts w:ascii="Times New Roman" w:hAnsi="Times New Roman"/>
          <w:sz w:val="20"/>
          <w:u w:val="single"/>
        </w:rPr>
        <w:t>Project</w:t>
      </w:r>
      <w:r>
        <w:rPr>
          <w:rFonts w:ascii="Times New Roman" w:hAnsi="Times New Roman"/>
          <w:sz w:val="20"/>
        </w:rPr>
        <w:t xml:space="preserve">” shall include (i) the redevelopment or reconstruction of any existing Project and (ii) any anchor and/or “big-box” parcels, outparcels and ground-leased parcels. An Investment in a Project may be made directly or indirectly, including by and through a qualified opportunities zone fund or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Property</w:t>
      </w:r>
      <w:r>
        <w:rPr>
          <w:rFonts w:ascii="Times New Roman" w:hAnsi="Times New Roman"/>
          <w:sz w:val="20"/>
        </w:rPr>
        <w:t>” shall mean, collectively and severally, any and all Real Property and all personal property owned or occupied by the subject Person. “</w:t>
      </w:r>
      <w:r>
        <w:rPr>
          <w:rFonts w:ascii="Times New Roman" w:hAnsi="Times New Roman"/>
          <w:sz w:val="20"/>
          <w:u w:val="single"/>
        </w:rPr>
        <w:t>Property</w:t>
      </w:r>
      <w:r>
        <w:rPr>
          <w:rFonts w:ascii="Times New Roman" w:hAnsi="Times New Roman"/>
          <w:sz w:val="20"/>
        </w:rPr>
        <w:t xml:space="preserve">” shall include all Capital Stock owned by the subject Person in a Subsidiary Entity. </w:t>
      </w:r>
    </w:p>
    <w:p>
      <w:pPr>
        <w:pStyle w:val="TextBody"/>
        <w:bidi w:val="0"/>
        <w:spacing w:before="240" w:after="0"/>
        <w:jc w:val="left"/>
        <w:rPr/>
      </w:pPr>
      <w:r>
        <w:rPr/>
        <w:t>“</w:t>
      </w:r>
      <w:r>
        <w:rPr>
          <w:rFonts w:ascii="Times New Roman" w:hAnsi="Times New Roman"/>
          <w:sz w:val="20"/>
          <w:u w:val="single"/>
        </w:rPr>
        <w:t>Property Expense</w:t>
      </w:r>
      <w:r>
        <w:rPr>
          <w:rFonts w:ascii="Times New Roman" w:hAnsi="Times New Roman"/>
          <w:sz w:val="20"/>
        </w:rPr>
        <w:t>” shall mean, for any Retail/Other Property, all operating expenses relating to such Retail/Other Property, including the following items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Property Expenses shall not include debt service, tenant improvement costs, tenant allowances, leasing commissions, costs of capital improvements and/or landlord’s work, Depreciation and Amortization Expenses and any extraordinary items not considered operating expenses under GAAP): (i) all expenses for the operation of such Retail/Other Property, including any management fees payable under Management Contracts and all insurance expenses, but not including any expenses incurred in connection with a sale or other capital or interim capital transaction; (ii) water charges, property taxes, sewer rents and other impositions, other than fines, penalties, interest or such impositions (or portions thereof) that are payable by reason of the failure to pay an imposition timely; and (iii) the cost of routine maintenance, repairs and minor alterations, to the extent they can be expensed under GAAP. Property Expense will not include any expense with respect to any Real Property that is the subject of a Specified Change of Control Event. </w:t>
      </w:r>
    </w:p>
    <w:p>
      <w:pPr>
        <w:pStyle w:val="TextBody"/>
        <w:bidi w:val="0"/>
        <w:spacing w:before="240" w:after="0"/>
        <w:jc w:val="left"/>
        <w:rPr/>
      </w:pPr>
      <w:r>
        <w:rPr/>
        <w:t>“</w:t>
      </w:r>
      <w:r>
        <w:rPr>
          <w:rFonts w:ascii="Times New Roman" w:hAnsi="Times New Roman"/>
          <w:sz w:val="20"/>
          <w:u w:val="single"/>
        </w:rPr>
        <w:t>Property Income</w:t>
      </w:r>
      <w:r>
        <w:rPr>
          <w:rFonts w:ascii="Times New Roman" w:hAnsi="Times New Roman"/>
          <w:sz w:val="20"/>
        </w:rPr>
        <w:t xml:space="preserve">” shall mean, for any Retail/Other Property, all gross revenue from the ownership and/or operation of such Retail/Other Property (but excluding income from a sale or other capital item transaction), service fees and charges and all tenant expense reimbursement income payable with respect to such Retail/Other Property. Property Income will not include any income with respect to any Real Property that is the subject of a Specified Change of Control Event. </w:t>
      </w:r>
    </w:p>
    <w:p>
      <w:pPr>
        <w:pStyle w:val="TextBody"/>
        <w:bidi w:val="0"/>
        <w:spacing w:before="240" w:after="0"/>
        <w:jc w:val="left"/>
        <w:rPr/>
      </w:pPr>
      <w:r>
        <w:rPr/>
        <w:t>“</w:t>
      </w:r>
      <w:r>
        <w:rPr>
          <w:rFonts w:ascii="Times New Roman" w:hAnsi="Times New Roman"/>
          <w:sz w:val="20"/>
          <w:u w:val="single"/>
        </w:rPr>
        <w:t>Property-Level Material Adverse Effect</w:t>
      </w:r>
      <w:r>
        <w:rPr>
          <w:rFonts w:ascii="Times New Roman" w:hAnsi="Times New Roman"/>
          <w:sz w:val="20"/>
        </w:rPr>
        <w:t xml:space="preserve">” shall mean a material adverse effect upon the value of a Retail/Other Property. </w:t>
      </w:r>
    </w:p>
    <w:p>
      <w:pPr>
        <w:pStyle w:val="TextBody"/>
        <w:bidi w:val="0"/>
        <w:spacing w:before="240" w:after="0"/>
        <w:jc w:val="left"/>
        <w:rPr/>
      </w:pPr>
      <w:r>
        <w:rPr/>
        <w:t>“</w:t>
      </w:r>
      <w:r>
        <w:rPr>
          <w:rFonts w:ascii="Times New Roman" w:hAnsi="Times New Roman"/>
          <w:sz w:val="20"/>
          <w:u w:val="single"/>
        </w:rPr>
        <w:t>Property NOI</w:t>
      </w:r>
      <w:r>
        <w:rPr>
          <w:rFonts w:ascii="Times New Roman" w:hAnsi="Times New Roman"/>
          <w:sz w:val="20"/>
        </w:rPr>
        <w:t xml:space="preserve">” shall mean, for any Retail/Other Property for the four Fiscal Quarter period then most recently ended, (i) all Property Income for such period, minus (ii) all Property Expenses for such period. For purposes hereof the Property NOI of any Retail/Other Property of any non-Wholly-Owned Subsidiary or Joint Venture shall be deemed equal to the product of (i) the Property NOI of such Retail/Other Property of such Person (prior to giving effect to this sentence), multiplied by (ii) the percentage of the total outstanding common Capital Stock of such Person directly or indirectly owned by MAC, expressed as a decimal (or the percentage of distributable cash to which the applicable MAC controlled Person is entitled). For purposes of calculating Property NOI, contract rents under signed leases will be annualized upon rent commencement (on an actual rent basis) for (i) newly developed properties, (ii) major redevelopment of existing properties and (iii) redevelopment of anchor spaces. With respect to any newly acquired Real Properties, for the first four full Fiscal Quarters after acquisition thereof, Property NOI will be deemed to be the greater of (x) the Property NOI calculated based on the Implied Cap Rate for such Real Property and (y) after at least one full Fiscal Month has been completed after the acquisition of such Real Property, the trailing twelve month Property NOI for such Real Property. Property NOI will not include any income or expense with respect to any Real Property that is the subject of a Specified Change of Control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Property Owner</w:t>
      </w:r>
      <w:r>
        <w:rPr>
          <w:rFonts w:ascii="Times New Roman" w:hAnsi="Times New Roman"/>
          <w:sz w:val="20"/>
        </w:rPr>
        <w:t xml:space="preserve">” shall mean the Macerich Entity owning the applicable Borrowing Base Mortgaged Property Asset. </w:t>
      </w:r>
    </w:p>
    <w:p>
      <w:pPr>
        <w:pStyle w:val="TextBody"/>
        <w:bidi w:val="0"/>
        <w:spacing w:before="240" w:after="0"/>
        <w:jc w:val="left"/>
        <w:rPr/>
      </w:pPr>
      <w:r>
        <w:rPr/>
        <w:t>“</w:t>
      </w:r>
      <w:r>
        <w:rPr>
          <w:rFonts w:ascii="Times New Roman" w:hAnsi="Times New Roman"/>
          <w:sz w:val="20"/>
          <w:u w:val="single"/>
        </w:rPr>
        <w:t>Property Owner Parent</w:t>
      </w:r>
      <w:r>
        <w:rPr>
          <w:rFonts w:ascii="Times New Roman" w:hAnsi="Times New Roman"/>
          <w:sz w:val="20"/>
        </w:rPr>
        <w:t xml:space="preserve">” shall mean the Macerich Entity directly owning the Capital Stock of the applicable Property Owner with respect to the applicable Borrowing Base Mortgaged Property Asset. </w:t>
      </w:r>
    </w:p>
    <w:p>
      <w:pPr>
        <w:pStyle w:val="TextBody"/>
        <w:bidi w:val="0"/>
        <w:spacing w:before="240" w:after="0"/>
        <w:jc w:val="left"/>
        <w:rPr/>
      </w:pPr>
      <w:r>
        <w:rPr/>
        <w:t>“</w:t>
      </w:r>
      <w:r>
        <w:rPr>
          <w:rFonts w:ascii="Times New Roman" w:hAnsi="Times New Roman"/>
          <w:sz w:val="20"/>
          <w:u w:val="single"/>
        </w:rPr>
        <w:t>Proposed Borrowing Base Asset</w:t>
      </w:r>
      <w:r>
        <w:rPr>
          <w:rFonts w:ascii="Times New Roman" w:hAnsi="Times New Roman"/>
          <w:sz w:val="20"/>
        </w:rPr>
        <w:t xml:space="preserve">” shall have the meaning given such term in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Protective Advance</w:t>
      </w:r>
      <w:r>
        <w:rPr>
          <w:rFonts w:ascii="Times New Roman" w:hAnsi="Times New Roman"/>
          <w:sz w:val="20"/>
        </w:rPr>
        <w:t xml:space="preserve">” shall mean all sums expended as determined by the Administrative </w:t>
      </w:r>
    </w:p>
    <w:p>
      <w:pPr>
        <w:pStyle w:val="TextBody"/>
        <w:bidi w:val="0"/>
        <w:spacing w:before="240" w:after="0"/>
        <w:jc w:val="left"/>
        <w:rPr>
          <w:rFonts w:ascii="Times New Roman" w:hAnsi="Times New Roman"/>
          <w:sz w:val="20"/>
        </w:rPr>
      </w:pPr>
      <w:r>
        <w:rPr>
          <w:rFonts w:ascii="Times New Roman" w:hAnsi="Times New Roman"/>
          <w:sz w:val="20"/>
        </w:rPr>
        <w:t xml:space="preserve">Agent to be necessary or appropriate to do any of the following to the extent any Borrower Party is required, but fails, to do so pursuant to the terms of the Loan Documents: (a) to protect the validity, enforceability, perfection or priority of the Liens in any of the Collateral and the instruments evidencing the Obligations; (b) to prevent the value of any Collateral from being materially diminished (assuming the lack of such a payment within the necessary time frame could potentially cause such Collateral to lose value); or (c) to protect any of the Collateral from being materially damaged, impaired, mismanaged or taken, including, without limitation, any amounts expended in connection therewith in accordance with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shall mean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Punitive Damages</w:t>
      </w:r>
      <w:r>
        <w:rPr>
          <w:rFonts w:ascii="Times New Roman" w:hAnsi="Times New Roman"/>
          <w:sz w:val="20"/>
        </w:rPr>
        <w:t xml:space="preserve">” shall mean special, indirect, consequential or punitive damages (as opposed to direct or actual damages) on any theory of liability (whether or not the claim therefor is based on contract, tort or duty imposed by any applicable legal requirement) arising out of, in connection with, as a result of, or in any way related to, this Agreement or any other Loan Document or any agreement or instrument contemplated hereby or thereby or referred to therein, the transactions contemplated thereby, any Loan or the use of the proceeds thereof or any act or omission or event occurring in connection therewith.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Qualified Bond Hedge Transaction” shall mean any call or capped call option (or substantively equivalent derivative transaction) on MAC’s common stock purchased by MAC or any of its Subsidiaries in connection with the issuance of any Qualified Convertible Indebtedness; provided that the purchase price for such Qualified Bond Hedge Transaction, less the proceeds received by MAC or its Subsidiaries from the sale of any related Qualified Warrant Transaction, does not exceed the net proceeds received by MAC or its Subsidiaries from the sale of such Qualified Convertible Indebtedness.</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Qualified Convertible Indebtedness” shall mean all Qualified Convertible Notes and Qualified Convertible Note Guarantees.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Qualified Convertible Note Guarantees” shall mean unsecured Indebtedness of any Borrower Party that is in the form of guarantees of Qualified Convertible Notes of another Borrower Party.</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Qualified Convertible Notes” shall mean unsecured Indebtedness of any Borrower Party that is either (a) convertible into, or exchangeable for, common stock or other common equity interests of MAC (and cash in lieu of any fractional share of common stock or other common equity interest) and/or cash (in an amount determined by reference to the price or value of such common stock or other common equity interest); or (b) sold as units with call options, warrants or rights to purchase (or substantially equivalent derivative transactions) that are exercisable for common stock or other common equity interests of MAC and/or cash (in an amount determined by reference to the price or value of such common stock or other common equity interest). For purposes of this definition, upon any recapitalization, business combination event or other event that causes such common stock or common equity interest to be exchanged for, or to represent solely the right to receive, other securities, cash or other assets, references to “common stock” and “common equity” will in the preceding sentence will be deemed to refer to such other securities, cash or other</w:t>
      </w:r>
      <w:r>
        <w:rPr>
          <w:rFonts w:ascii="Times New Roman" w:hAnsi="Times New Roman"/>
          <w:sz w:val="20"/>
        </w:rPr>
        <w:t xml:space="preserve"> </w:t>
      </w:r>
      <w:r>
        <w:rPr>
          <w:rFonts w:ascii="Times New Roman" w:hAnsi="Times New Roman"/>
          <w:color w:val="0000FF"/>
          <w:sz w:val="20"/>
          <w:u w:val="single"/>
          <w:bdr w:val="double" w:sz="2" w:space="1" w:color="000000"/>
        </w:rPr>
        <w:t>assets.</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Qualified Warrant Transaction” shall mean any call option or warrant on, or right</w:t>
      </w:r>
      <w:r>
        <w:rPr>
          <w:rFonts w:ascii="Times New Roman" w:hAnsi="Times New Roman"/>
          <w:sz w:val="20"/>
        </w:rPr>
        <w:t xml:space="preserve"> </w:t>
      </w:r>
      <w:r>
        <w:rPr>
          <w:rFonts w:ascii="Times New Roman" w:hAnsi="Times New Roman"/>
          <w:color w:val="0000FF"/>
          <w:sz w:val="20"/>
          <w:u w:val="single"/>
          <w:bdr w:val="double" w:sz="2" w:space="1" w:color="000000"/>
        </w:rPr>
        <w:t>to purchase (or substantively equivalent derivative transaction), the common stock or other common equity interests of MAC sold by MAC or its Subsidiaries substantially concurrently with any purchase by MAC or its Subsidiaries of a related Qualified Bond Hedge Transaction.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Qualifying Ground Lease</w:t>
      </w:r>
      <w:r>
        <w:rPr>
          <w:rFonts w:ascii="Times New Roman" w:hAnsi="Times New Roman"/>
          <w:sz w:val="20"/>
        </w:rPr>
        <w:t xml:space="preserve">” shall mean, with respect to assets proposed to be added as Borrowing Base Mortgaged Property Assets, a ground lease that (i) has a remaining term of at least thirty (30) years including, for this purpose, any renewal option exercisable at the sole option of the ground lessee thereunder, with no veto or approval rights by the ground lessor or any lender to such ground lessor; (ii) can be mortgaged without the consent of the ground lessor thereunder (or such consent is otherwise obtained); (iii) contains customary leasehold mortgagee protection rights reasonably satisfactory to the Administrative Agent (including customary provisions regarding rights to insurance proceeds and condemnation awards); and (iv) can be assigned in connection with a foreclosure of a security interest on the ground tenant’s interest, without the consent of the ground lessor thereunder (or if consent of such ground lessor is required, such consent is subject to either an express reasonableness standard or an objective financial standard for the assignee that is reasonably satisfactory to the Administrative Agent). </w:t>
      </w:r>
    </w:p>
    <w:p>
      <w:pPr>
        <w:pStyle w:val="TextBody"/>
        <w:bidi w:val="0"/>
        <w:spacing w:before="240" w:after="0"/>
        <w:jc w:val="left"/>
        <w:rPr/>
      </w:pPr>
      <w:r>
        <w:rPr/>
        <w:t>“</w:t>
      </w:r>
      <w:r>
        <w:rPr>
          <w:rFonts w:ascii="Times New Roman" w:hAnsi="Times New Roman"/>
          <w:sz w:val="20"/>
          <w:u w:val="single"/>
        </w:rPr>
        <w:t>Quarterly Pricing Certificate</w:t>
      </w:r>
      <w:r>
        <w:rPr>
          <w:rFonts w:ascii="Times New Roman" w:hAnsi="Times New Roman"/>
          <w:sz w:val="20"/>
        </w:rPr>
        <w:t xml:space="preserve">” shall mean a certificate substantially in the form of </w:t>
      </w:r>
      <w:r>
        <w:rPr>
          <w:rFonts w:ascii="Times New Roman" w:hAnsi="Times New Roman"/>
          <w:sz w:val="20"/>
          <w:u w:val="single"/>
        </w:rPr>
        <w:t>Exhibit 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Rate Request</w:t>
      </w:r>
      <w:r>
        <w:rPr>
          <w:rFonts w:ascii="Times New Roman" w:hAnsi="Times New Roman"/>
          <w:sz w:val="20"/>
        </w:rPr>
        <w:t xml:space="preserve">” shall mean a request for the conversion or continuation of a Base Rate Loan or Term SOFR Loan as set forth in </w:t>
      </w:r>
      <w:r>
        <w:rPr>
          <w:rFonts w:ascii="Times New Roman" w:hAnsi="Times New Roman"/>
          <w:sz w:val="20"/>
          <w:u w:val="single"/>
        </w:rPr>
        <w:t>Section 1.6(2)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Raw Land and/or Non-Income Generating Properties</w:t>
      </w:r>
      <w:r>
        <w:rPr>
          <w:rFonts w:ascii="Times New Roman" w:hAnsi="Times New Roman"/>
          <w:sz w:val="20"/>
        </w:rPr>
        <w:t xml:space="preserve">” shall mean, as of any date of determination, (i) land that is not under development and/or (ii) Real Properties for which Property NOI not in excess of $250,000 was generated during the most recently ended four Fiscal Quarter period, including without limitation, as of the Closing Date, those Raw Land and/or Non-Income Generating Properties of the Macerich Entities set forth on </w:t>
      </w:r>
      <w:r>
        <w:rPr>
          <w:rFonts w:ascii="Times New Roman" w:hAnsi="Times New Roman"/>
          <w:sz w:val="20"/>
          <w:u w:val="single"/>
        </w:rPr>
        <w:t>Schedule 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Real Property</w:t>
      </w:r>
      <w:r>
        <w:rPr>
          <w:rFonts w:ascii="Times New Roman" w:hAnsi="Times New Roman"/>
          <w:sz w:val="20"/>
        </w:rPr>
        <w:t xml:space="preserve">” shall mean each of those parcels (or portions thereof) of real property, improvements and fixtures thereon and appurtenances thereto now or hereafter owned or leased by the Macerich Entities. </w:t>
      </w:r>
    </w:p>
    <w:p>
      <w:pPr>
        <w:pStyle w:val="TextBody"/>
        <w:bidi w:val="0"/>
        <w:spacing w:before="240" w:after="0"/>
        <w:jc w:val="left"/>
        <w:rPr/>
      </w:pPr>
      <w:r>
        <w:rPr/>
        <w:t>“</w:t>
      </w:r>
      <w:r>
        <w:rPr>
          <w:rFonts w:ascii="Times New Roman" w:hAnsi="Times New Roman"/>
          <w:sz w:val="20"/>
          <w:u w:val="single"/>
        </w:rPr>
        <w:t>Real Property Under Construction</w:t>
      </w:r>
      <w:r>
        <w:rPr>
          <w:rFonts w:ascii="Times New Roman" w:hAnsi="Times New Roman"/>
          <w:sz w:val="20"/>
        </w:rPr>
        <w:t xml:space="preserve">” shall mean Real Property for which Commencement of Construction has occurred but construction of such Real Property is not substantially complete or has not yet reached Stabilization. </w:t>
      </w:r>
    </w:p>
    <w:p>
      <w:pPr>
        <w:pStyle w:val="TextBody"/>
        <w:bidi w:val="0"/>
        <w:spacing w:before="120" w:after="0"/>
        <w:jc w:val="left"/>
        <w:rPr/>
      </w:pPr>
      <w:r>
        <w:rPr/>
        <w:t>“</w:t>
      </w:r>
      <w:r>
        <w:rPr>
          <w:rFonts w:ascii="Times New Roman" w:hAnsi="Times New Roman"/>
          <w:sz w:val="20"/>
          <w:u w:val="single"/>
        </w:rPr>
        <w:t>Register</w:t>
      </w:r>
      <w:r>
        <w:rPr>
          <w:rFonts w:ascii="Times New Roman" w:hAnsi="Times New Roman"/>
          <w:sz w:val="20"/>
        </w:rPr>
        <w:t xml:space="preserve">” shall have the meaning given such term in </w:t>
      </w:r>
      <w:r>
        <w:rPr>
          <w:rFonts w:ascii="Times New Roman" w:hAnsi="Times New Roman"/>
          <w:sz w:val="20"/>
          <w:u w:val="single"/>
        </w:rPr>
        <w:t>Section 1.8(4)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Regulation D</w:t>
      </w:r>
      <w:r>
        <w:rPr>
          <w:rFonts w:ascii="Times New Roman" w:hAnsi="Times New Roman"/>
          <w:sz w:val="20"/>
        </w:rPr>
        <w:t xml:space="preserve">” shall mean Regulation D of the Board of Governors of the Federal Reserve System from time to time in effect and shall include any successor or other regulation of said Board of Governors relating to reserve requirements applicable to member banks of the Federal Reserve System. </w:t>
      </w:r>
    </w:p>
    <w:p>
      <w:pPr>
        <w:pStyle w:val="TextBody"/>
        <w:bidi w:val="0"/>
        <w:spacing w:before="240" w:after="0"/>
        <w:jc w:val="left"/>
        <w:rPr/>
      </w:pPr>
      <w:r>
        <w:rPr/>
        <w:t>“</w:t>
      </w:r>
      <w:r>
        <w:rPr>
          <w:rFonts w:ascii="Times New Roman" w:hAnsi="Times New Roman"/>
          <w:sz w:val="20"/>
          <w:u w:val="single"/>
        </w:rPr>
        <w:t>Regulation U</w:t>
      </w:r>
      <w:r>
        <w:rPr>
          <w:rFonts w:ascii="Times New Roman" w:hAnsi="Times New Roman"/>
          <w:sz w:val="20"/>
        </w:rPr>
        <w:t xml:space="preserve">” shall mean Regulation U of the Board of Governors of the Federal Reserve System (12 C.F.R. § 221), as the same may from time to time be amended, supplemented or superseded. </w:t>
      </w:r>
    </w:p>
    <w:p>
      <w:pPr>
        <w:pStyle w:val="TextBody"/>
        <w:bidi w:val="0"/>
        <w:spacing w:before="240" w:after="0"/>
        <w:jc w:val="left"/>
        <w:rPr/>
      </w:pPr>
      <w:r>
        <w:rPr/>
        <w:t>“</w:t>
      </w:r>
      <w:r>
        <w:rPr>
          <w:rFonts w:ascii="Times New Roman" w:hAnsi="Times New Roman"/>
          <w:sz w:val="20"/>
          <w:u w:val="single"/>
        </w:rPr>
        <w:t>REIT</w:t>
      </w:r>
      <w:r>
        <w:rPr>
          <w:rFonts w:ascii="Times New Roman" w:hAnsi="Times New Roman"/>
          <w:sz w:val="20"/>
        </w:rPr>
        <w:t xml:space="preserve">” shall mean a domestic trust or corporation that qualifies as a real estate investment trust under the provisions of Sections 856, et seq. of the Code. </w:t>
      </w:r>
    </w:p>
    <w:p>
      <w:pPr>
        <w:pStyle w:val="TextBody"/>
        <w:bidi w:val="0"/>
        <w:spacing w:before="240" w:after="0"/>
        <w:jc w:val="left"/>
        <w:rPr/>
      </w:pPr>
      <w:r>
        <w:rPr/>
        <w:t>“</w:t>
      </w:r>
      <w:r>
        <w:rPr>
          <w:rFonts w:ascii="Times New Roman" w:hAnsi="Times New Roman"/>
          <w:sz w:val="20"/>
          <w:u w:val="single"/>
        </w:rPr>
        <w:t>REIT Guaranty</w:t>
      </w:r>
      <w:r>
        <w:rPr>
          <w:rFonts w:ascii="Times New Roman" w:hAnsi="Times New Roman"/>
          <w:sz w:val="20"/>
        </w:rPr>
        <w:t xml:space="preserve">” shall mean that certain Second Amended and Restated Unconditional Guaranty dated as of the Closing Date, made by MAC in favor of the Administrative Agent, as the same may be Modified from time to time. </w:t>
      </w:r>
    </w:p>
    <w:p>
      <w:pPr>
        <w:pStyle w:val="TextBody"/>
        <w:bidi w:val="0"/>
        <w:spacing w:before="240" w:after="0"/>
        <w:jc w:val="left"/>
        <w:rPr/>
      </w:pPr>
      <w:r>
        <w:rPr/>
        <w:t>“</w:t>
      </w:r>
      <w:r>
        <w:rPr>
          <w:rFonts w:ascii="Times New Roman" w:hAnsi="Times New Roman"/>
          <w:sz w:val="20"/>
          <w:u w:val="single"/>
        </w:rPr>
        <w:t>REIT Status Maintenance Dividends</w:t>
      </w:r>
      <w:r>
        <w:rPr>
          <w:rFonts w:ascii="Times New Roman" w:hAnsi="Times New Roman"/>
          <w:sz w:val="20"/>
        </w:rPr>
        <w:t xml:space="preserve">” shall mean Distributions in the minimum amount required for MAC to maintain its status as a REIT (assuming such Distribution is paid solely in cash (in Borrower’s sole discretion), and disregarding capital losses in the calculation of taxable income for such purposes).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shall mean, with respect to any specified Person, such Person’s Affiliates and the respective directors, officers, employees, agents and advisors of such Person and such Person’s Affiliates. </w:t>
      </w:r>
    </w:p>
    <w:p>
      <w:pPr>
        <w:pStyle w:val="TextBody"/>
        <w:bidi w:val="0"/>
        <w:spacing w:before="240" w:after="0"/>
        <w:jc w:val="left"/>
        <w:rPr/>
      </w:pPr>
      <w:r>
        <w:rPr/>
        <w:t>“</w:t>
      </w:r>
      <w:r>
        <w:rPr>
          <w:rFonts w:ascii="Times New Roman" w:hAnsi="Times New Roman"/>
          <w:sz w:val="20"/>
          <w:u w:val="single"/>
        </w:rPr>
        <w:t>Release Request Certificate</w:t>
      </w:r>
      <w:r>
        <w:rPr>
          <w:rFonts w:ascii="Times New Roman" w:hAnsi="Times New Roman"/>
          <w:sz w:val="20"/>
        </w:rPr>
        <w:t xml:space="preserve">” shall have the meaning given such term in the definition of Borrowing Base Asset Substitution Conditions.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shall mean the Board of Governors of the Federal Reserve System or the Federal Reserve Bank of New York, or a committee officially endorsed or convened by the Board of Governors of the Federal Reserve System or the Federal Reserve Bank of New York, or any successor thereto. </w:t>
      </w:r>
    </w:p>
    <w:p>
      <w:pPr>
        <w:pStyle w:val="TextBody"/>
        <w:bidi w:val="0"/>
        <w:spacing w:before="240" w:after="0"/>
        <w:jc w:val="left"/>
        <w:rPr/>
      </w:pPr>
      <w:r>
        <w:rPr/>
        <w:t>“</w:t>
      </w:r>
      <w:r>
        <w:rPr>
          <w:rFonts w:ascii="Times New Roman" w:hAnsi="Times New Roman"/>
          <w:sz w:val="20"/>
          <w:u w:val="single"/>
        </w:rPr>
        <w:t>Regulatory Authority</w:t>
      </w:r>
      <w:r>
        <w:rPr>
          <w:rFonts w:ascii="Times New Roman" w:hAnsi="Times New Roman"/>
          <w:sz w:val="20"/>
        </w:rPr>
        <w:t xml:space="preserve">” shall have the meaning given such term in </w:t>
      </w:r>
      <w:r>
        <w:rPr>
          <w:rFonts w:ascii="Times New Roman" w:hAnsi="Times New Roman"/>
          <w:sz w:val="20"/>
          <w:u w:val="single"/>
        </w:rPr>
        <w:t>Section 11.11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Replaced Assets</w:t>
      </w:r>
      <w:r>
        <w:rPr>
          <w:rFonts w:ascii="Times New Roman" w:hAnsi="Times New Roman"/>
          <w:sz w:val="20"/>
        </w:rPr>
        <w:t xml:space="preserve">” shall have the meaning given such term in the definition of Borrowing Base Asset Substitution. </w:t>
      </w:r>
    </w:p>
    <w:p>
      <w:pPr>
        <w:pStyle w:val="TextBody"/>
        <w:bidi w:val="0"/>
        <w:spacing w:before="240" w:after="0"/>
        <w:jc w:val="left"/>
        <w:rPr/>
      </w:pPr>
      <w:r>
        <w:rPr/>
        <w:t>“</w:t>
      </w:r>
      <w:r>
        <w:rPr>
          <w:rFonts w:ascii="Times New Roman" w:hAnsi="Times New Roman"/>
          <w:sz w:val="20"/>
          <w:u w:val="single"/>
        </w:rPr>
        <w:t>Replacement Assets</w:t>
      </w:r>
      <w:r>
        <w:rPr>
          <w:rFonts w:ascii="Times New Roman" w:hAnsi="Times New Roman"/>
          <w:sz w:val="20"/>
        </w:rPr>
        <w:t xml:space="preserve">” shall have the meaning given such term in the definition of Borrowing Base Asset Substitution.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shall mean any of the events set forth in Section 4043(c) of ERISA or the regulations thereunder, other than any such event for which the thirty (30)-day notice requirement under ERISA has been waived in regulations issued by the PBGC.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shall mean, at any time, Lenders having Revolving Credit Exposure and unused Revolving Commitments representing an amount greater than 50.0% of the sum of the total Revolving Credit Exposure and unused Revolving Commitments at such time. The Revolving Credit Exposure and unused Revolving Commitments of any Defaulting Lender shall be disregarded in determining Required Lenders at any time. </w:t>
      </w:r>
    </w:p>
    <w:p>
      <w:pPr>
        <w:pStyle w:val="TextBody"/>
        <w:bidi w:val="0"/>
        <w:spacing w:before="240" w:after="0"/>
        <w:jc w:val="left"/>
        <w:rPr/>
      </w:pPr>
      <w:r>
        <w:rPr/>
        <w:t>“</w:t>
      </w:r>
      <w:r>
        <w:rPr>
          <w:rFonts w:ascii="Times New Roman" w:hAnsi="Times New Roman"/>
          <w:sz w:val="20"/>
          <w:u w:val="single"/>
        </w:rPr>
        <w:t>Requirements of Law</w:t>
      </w:r>
      <w:r>
        <w:rPr>
          <w:rFonts w:ascii="Times New Roman" w:hAnsi="Times New Roman"/>
          <w:sz w:val="20"/>
        </w:rPr>
        <w:t xml:space="preserve">” shall mean, as to any Person, the Organizational Documents of such Person, and any law, treaty, rule or regulation, or a final and binding determination of an arbitrator or a determination of a court or other Governmental Authority, in each case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shall mean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Financial Officer</w:t>
      </w:r>
      <w:r>
        <w:rPr>
          <w:rFonts w:ascii="Times New Roman" w:hAnsi="Times New Roman"/>
          <w:sz w:val="20"/>
        </w:rPr>
        <w:t xml:space="preserve">” shall mean, with respect to any Person, the chief financial officer or treasurer of such Person or any other officer, partner or member having substantially the same authority and responsibility.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shall mean, with respect to any Person, the president, chief executive officer, vice president, Responsible Financial Officer, general partner or managing member of such Person or any other officer, partner or member having substantially the same authority and responsibility. </w:t>
      </w:r>
    </w:p>
    <w:p>
      <w:pPr>
        <w:pStyle w:val="TextBody"/>
        <w:bidi w:val="0"/>
        <w:spacing w:before="240" w:after="0"/>
        <w:jc w:val="left"/>
        <w:rPr/>
      </w:pPr>
      <w:r>
        <w:rPr/>
        <w:t>“</w:t>
      </w:r>
      <w:r>
        <w:rPr>
          <w:rFonts w:ascii="Times New Roman" w:hAnsi="Times New Roman"/>
          <w:sz w:val="20"/>
          <w:u w:val="single"/>
        </w:rPr>
        <w:t>Restricted Cash</w:t>
      </w:r>
      <w:r>
        <w:rPr>
          <w:rFonts w:ascii="Times New Roman" w:hAnsi="Times New Roman"/>
          <w:sz w:val="20"/>
        </w:rPr>
        <w:t xml:space="preserve">” shall mean any cash or Cash Equivalents held by any Person with respect to which such Person does not have unrestricted access and unrestricted right to expend such cash or expend or liquidate such permitted Investments (provided that Restricted Cash shall not include any reserves maintained with any lender under any secured Indebtedness for the future payment of (i) property taxes and similar assessments under public or private agreements, (ii) leasing obligations (including without limitation, in respect of tenant improvements and tenant allowances as contemplated by any applicable lease, costs of landlord’s work, and leasing commissions in respect of any applicable lease), (iii) capital improvements and deferred maintenance, (iv) other property-related expenses including operating expenses (other than, for the avoidance of doubt, interest payments on Indebtedness) for which reserves are customarily established and (v) principal of Indebtedness); </w:t>
      </w:r>
      <w:r>
        <w:rPr>
          <w:rFonts w:ascii="Times New Roman" w:hAnsi="Times New Roman"/>
          <w:sz w:val="20"/>
          <w:u w:val="single"/>
        </w:rPr>
        <w:t>provided</w:t>
      </w:r>
      <w:r>
        <w:rPr>
          <w:rFonts w:ascii="Times New Roman" w:hAnsi="Times New Roman"/>
          <w:sz w:val="20"/>
        </w:rPr>
        <w:t xml:space="preserve"> that, for the purposes of any calculation of Capitalization Value, Capitalization Value (Unencumbered Property), the Secured Leverage Ratio or the Unsecured Leverage Ratio hereunder, (i) “Restricted Cash” shall not include any cash or Cash Equivalents subject to a Lien or otherwise restricted in favor of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on its own behalf or on behalf of any Lender or other Secured Party and (ii) the amount of any cash or Cash Equivalents of a Person that is subject to a Lien or otherwise restricted in favor of any lender or other secured party (other than the Lenders and the other Secured Parties) in respect of Indebtedness of such Person owing to such lender or other secured party shall be permitted to be netted against such Indebtedness owing to such lender or other secured party and shall be deemed not to be “Restricted Cash” solely to the extent of the amount of such Indebtedness (and, for the avoidance of doubt, not in respect of any other Indebtedness of such Person or any other Person). </w:t>
      </w:r>
    </w:p>
    <w:p>
      <w:pPr>
        <w:pStyle w:val="TextBody"/>
        <w:bidi w:val="0"/>
        <w:spacing w:before="240" w:after="0"/>
        <w:jc w:val="left"/>
        <w:rPr/>
      </w:pPr>
      <w:r>
        <w:rPr/>
        <w:t>“</w:t>
      </w:r>
      <w:r>
        <w:rPr>
          <w:rFonts w:ascii="Times New Roman" w:hAnsi="Times New Roman"/>
          <w:sz w:val="20"/>
          <w:u w:val="single"/>
        </w:rPr>
        <w:t>Retail/Other Property</w:t>
      </w:r>
      <w:r>
        <w:rPr>
          <w:rFonts w:ascii="Times New Roman" w:hAnsi="Times New Roman"/>
          <w:sz w:val="20"/>
        </w:rPr>
        <w:t>” or “</w:t>
      </w:r>
      <w:r>
        <w:rPr>
          <w:rFonts w:ascii="Times New Roman" w:hAnsi="Times New Roman"/>
          <w:sz w:val="20"/>
          <w:u w:val="single"/>
        </w:rPr>
        <w:t>Retail/Other Properties</w:t>
      </w:r>
      <w:r>
        <w:rPr>
          <w:rFonts w:ascii="Times New Roman" w:hAnsi="Times New Roman"/>
          <w:sz w:val="20"/>
        </w:rPr>
        <w:t xml:space="preserve">” shall mean any Real Property that is (i) a neighborhood, community or regional shopping center, mall or district, office building, multi-family project, entertainment venue, gym, restaurant, or warehouse, (ii) a hotel in which a Macerich Core Entity or one of its Joint Ventures holds the fee interest and/or other ground lessor’s interest under a ground lease or (iii) combination of any of the foregoing and/or subject to uses otherwise compatible with any of the foregoing. </w:t>
      </w:r>
    </w:p>
    <w:p>
      <w:pPr>
        <w:pStyle w:val="TextBody"/>
        <w:bidi w:val="0"/>
        <w:spacing w:before="240" w:after="0"/>
        <w:jc w:val="left"/>
        <w:rPr/>
      </w:pPr>
      <w:r>
        <w:rPr/>
        <w:t>“</w:t>
      </w:r>
      <w:r>
        <w:rPr>
          <w:rFonts w:ascii="Times New Roman" w:hAnsi="Times New Roman"/>
          <w:sz w:val="20"/>
          <w:u w:val="single"/>
        </w:rPr>
        <w:t>Revolving Borrowing</w:t>
      </w:r>
      <w:r>
        <w:rPr>
          <w:rFonts w:ascii="Times New Roman" w:hAnsi="Times New Roman"/>
          <w:sz w:val="20"/>
        </w:rPr>
        <w:t xml:space="preserve">” shall mean a Borrowing consisting of one or more Revolving Loans. </w:t>
      </w:r>
    </w:p>
    <w:p>
      <w:pPr>
        <w:pStyle w:val="TextBody"/>
        <w:bidi w:val="0"/>
        <w:spacing w:before="240" w:after="0"/>
        <w:jc w:val="left"/>
        <w:rPr/>
      </w:pPr>
      <w:r>
        <w:rPr/>
        <w:t>“</w:t>
      </w:r>
      <w:r>
        <w:rPr>
          <w:rFonts w:ascii="Times New Roman" w:hAnsi="Times New Roman"/>
          <w:sz w:val="20"/>
          <w:u w:val="single"/>
        </w:rPr>
        <w:t>Revolving Commitment</w:t>
      </w:r>
      <w:r>
        <w:rPr>
          <w:rFonts w:ascii="Times New Roman" w:hAnsi="Times New Roman"/>
          <w:sz w:val="20"/>
        </w:rPr>
        <w:t xml:space="preserve">” shall mean, with respect to each Revolving Lender, the commitment, if any, of such Revolving Lender to make Revolving Loans and to acquire participations in Letters of Credit hereunder, expressed as an amount representing the maximum aggregate amount that such Revolving Lender’s Revolving Credit Exposure could be at any time hereunder, as such commitment may be (a) reduced from time to time pursuant to </w:t>
      </w:r>
      <w:r>
        <w:rPr>
          <w:rFonts w:ascii="Times New Roman" w:hAnsi="Times New Roman"/>
          <w:sz w:val="20"/>
          <w:u w:val="single"/>
        </w:rPr>
        <w:t>Section 1.7</w:t>
      </w:r>
      <w:r>
        <w:rPr>
          <w:rFonts w:ascii="Times New Roman" w:hAnsi="Times New Roman"/>
          <w:sz w:val="20"/>
        </w:rPr>
        <w:t xml:space="preserve">; (b) reduced or increased from time to time pursuant to assignments by or to such Revolving Lender pursuant to </w:t>
      </w:r>
      <w:r>
        <w:rPr>
          <w:rFonts w:ascii="Times New Roman" w:hAnsi="Times New Roman"/>
          <w:sz w:val="20"/>
          <w:u w:val="single"/>
        </w:rPr>
        <w:t>Section 11.8</w:t>
      </w:r>
      <w:r>
        <w:rPr>
          <w:rFonts w:ascii="Times New Roman" w:hAnsi="Times New Roman"/>
          <w:sz w:val="20"/>
        </w:rPr>
        <w:t xml:space="preserve">; or (c) increased from time to time pursuant to a Joinder Agreement delivered pursuant to </w:t>
      </w:r>
      <w:r>
        <w:rPr>
          <w:rFonts w:ascii="Times New Roman" w:hAnsi="Times New Roman"/>
          <w:sz w:val="20"/>
          <w:u w:val="single"/>
        </w:rPr>
        <w:t>Article 3</w:t>
      </w:r>
      <w:r>
        <w:rPr>
          <w:rFonts w:ascii="Times New Roman" w:hAnsi="Times New Roman"/>
          <w:sz w:val="20"/>
        </w:rPr>
        <w:t xml:space="preserve">. The initial amount of each Revolving Lender’s Revolving Commitment is set forth on </w:t>
      </w:r>
      <w:r>
        <w:rPr>
          <w:rFonts w:ascii="Times New Roman" w:hAnsi="Times New Roman"/>
          <w:sz w:val="20"/>
          <w:u w:val="single"/>
        </w:rPr>
        <w:t>Schedule II</w:t>
      </w:r>
      <w:r>
        <w:rPr>
          <w:rFonts w:ascii="Times New Roman" w:hAnsi="Times New Roman"/>
          <w:sz w:val="20"/>
        </w:rPr>
        <w:t xml:space="preserve">, or in the Assignment and Acceptance Agreement or Joinder Agreement pursuant to which such Revolving Lender shall have assumed its Revolving Commitment, as applicable. The initial aggregate amount of the Revolving Lenders’ Revolving Commitments as of the Closing Date is $900,000,000. </w:t>
      </w:r>
    </w:p>
    <w:p>
      <w:pPr>
        <w:pStyle w:val="TextBody"/>
        <w:bidi w:val="0"/>
        <w:spacing w:before="240" w:after="0"/>
        <w:jc w:val="left"/>
        <w:rPr/>
      </w:pPr>
      <w:r>
        <w:rPr/>
        <w:t>“</w:t>
      </w:r>
      <w:r>
        <w:rPr>
          <w:rFonts w:ascii="Times New Roman" w:hAnsi="Times New Roman"/>
          <w:sz w:val="20"/>
          <w:u w:val="single"/>
        </w:rPr>
        <w:t>Revolving Commitment Termination Date</w:t>
      </w:r>
      <w:r>
        <w:rPr>
          <w:rFonts w:ascii="Times New Roman" w:hAnsi="Times New Roman"/>
          <w:sz w:val="20"/>
        </w:rPr>
        <w:t xml:space="preserve">” shall mean initially the Initial Revolving Commitment Termination Date; </w:t>
      </w:r>
      <w:r>
        <w:rPr>
          <w:rFonts w:ascii="Times New Roman" w:hAnsi="Times New Roman"/>
          <w:sz w:val="20"/>
          <w:u w:val="single"/>
        </w:rPr>
        <w:t>provided</w:t>
      </w:r>
      <w:r>
        <w:rPr>
          <w:rFonts w:ascii="Times New Roman" w:hAnsi="Times New Roman"/>
          <w:sz w:val="20"/>
        </w:rPr>
        <w:t xml:space="preserve"> that the “Revolving Commitment Termination Date” shall mean the Extended Revolving Commitment Termination Date if the Borrower extends the Initial Revolving Commitment Termination Date in accordance with the terms and conditions of </w:t>
      </w:r>
      <w:r>
        <w:rPr>
          <w:rFonts w:ascii="Times New Roman" w:hAnsi="Times New Roman"/>
          <w:sz w:val="20"/>
          <w:u w:val="single"/>
        </w:rPr>
        <w:t>Section 1.7(5)</w:t>
      </w:r>
      <w:r>
        <w:rPr>
          <w:rFonts w:ascii="Times New Roman" w:hAnsi="Times New Roman"/>
          <w:sz w:val="20"/>
        </w:rPr>
        <w:t xml:space="preserve">. The Revolving Commitment Termination Date shall be subject to acceleration upon an Event of Default as otherwise provided in this Agreement. </w:t>
      </w:r>
    </w:p>
    <w:p>
      <w:pPr>
        <w:pStyle w:val="TextBody"/>
        <w:bidi w:val="0"/>
        <w:spacing w:before="240" w:after="0"/>
        <w:jc w:val="left"/>
        <w:rPr/>
      </w:pPr>
      <w:r>
        <w:rPr/>
        <w:t>“</w:t>
      </w:r>
      <w:r>
        <w:rPr>
          <w:rFonts w:ascii="Times New Roman" w:hAnsi="Times New Roman"/>
          <w:sz w:val="20"/>
          <w:u w:val="single"/>
        </w:rPr>
        <w:t>Revolving Commitment Termination LC Exposure Deposit</w:t>
      </w:r>
      <w:r>
        <w:rPr>
          <w:rFonts w:ascii="Times New Roman" w:hAnsi="Times New Roman"/>
          <w:sz w:val="20"/>
        </w:rPr>
        <w:t xml:space="preserve">” shall have the meaning given such term in </w:t>
      </w:r>
      <w:r>
        <w:rPr>
          <w:rFonts w:ascii="Times New Roman" w:hAnsi="Times New Roman"/>
          <w:sz w:val="20"/>
          <w:u w:val="single"/>
        </w:rPr>
        <w:t>Section 1.4(11)(A)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Credit Exposure</w:t>
      </w:r>
      <w:r>
        <w:rPr>
          <w:rFonts w:ascii="Times New Roman" w:hAnsi="Times New Roman"/>
          <w:sz w:val="20"/>
        </w:rPr>
        <w:t xml:space="preserve">” shall mean, with respect to any Revolving Lender at any time, the aggregate outstanding principal amount of such Revolving Lender’s Revolving Loans and LC Exposure,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Lender</w:t>
      </w:r>
      <w:r>
        <w:rPr>
          <w:rFonts w:ascii="Times New Roman" w:hAnsi="Times New Roman"/>
          <w:sz w:val="20"/>
        </w:rPr>
        <w:t xml:space="preserve">” shall mean any Lender with a Revolving Commitment and/or Revolving Credit Exposure. </w:t>
      </w:r>
    </w:p>
    <w:p>
      <w:pPr>
        <w:pStyle w:val="TextBody"/>
        <w:bidi w:val="0"/>
        <w:spacing w:before="240" w:after="0"/>
        <w:jc w:val="left"/>
        <w:rPr/>
      </w:pPr>
      <w:r>
        <w:rPr/>
        <w:t>“</w:t>
      </w:r>
      <w:r>
        <w:rPr>
          <w:rFonts w:ascii="Times New Roman" w:hAnsi="Times New Roman"/>
          <w:sz w:val="20"/>
          <w:u w:val="single"/>
        </w:rPr>
        <w:t>Revolving Loan Note</w:t>
      </w:r>
      <w:r>
        <w:rPr>
          <w:rFonts w:ascii="Times New Roman" w:hAnsi="Times New Roman"/>
          <w:sz w:val="20"/>
        </w:rPr>
        <w:t xml:space="preserve">” shall mean a promissory note substantially in the form of </w:t>
      </w:r>
      <w:r>
        <w:rPr>
          <w:rFonts w:ascii="Times New Roman" w:hAnsi="Times New Roman"/>
          <w:sz w:val="20"/>
          <w:u w:val="single"/>
        </w:rPr>
        <w:t>Exhibit M</w:t>
      </w:r>
      <w:r>
        <w:rPr>
          <w:rFonts w:ascii="Times New Roman" w:hAnsi="Times New Roman"/>
          <w:sz w:val="20"/>
        </w:rPr>
        <w:t xml:space="preserve">, as it may be Modified from time to time. </w:t>
      </w:r>
    </w:p>
    <w:p>
      <w:pPr>
        <w:pStyle w:val="TextBody"/>
        <w:bidi w:val="0"/>
        <w:spacing w:before="240" w:after="0"/>
        <w:jc w:val="left"/>
        <w:rPr/>
      </w:pPr>
      <w:r>
        <w:rPr/>
        <w:t>“</w:t>
      </w:r>
      <w:r>
        <w:rPr>
          <w:rFonts w:ascii="Times New Roman" w:hAnsi="Times New Roman"/>
          <w:sz w:val="20"/>
          <w:u w:val="single"/>
        </w:rPr>
        <w:t>Revolving Loans</w:t>
      </w:r>
      <w:r>
        <w:rPr>
          <w:rFonts w:ascii="Times New Roman" w:hAnsi="Times New Roman"/>
          <w:sz w:val="20"/>
        </w:rPr>
        <w:t xml:space="preserve">” shall mean the loans made by the Revolving Lenders to the Borrower pursuant to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shall mean Standard &amp; Poor’s Rating Services, a division of the McGraw-Hill Companies, Inc., or any successor thereto.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shall mean any international economic sanction administered or enforced by OFAC, the United States Department of State, the United Nations Security Council, the European Union, His Majesty’s Treasury, the government of Canada or other relevant sanctions authority. </w:t>
      </w:r>
    </w:p>
    <w:p>
      <w:pPr>
        <w:pStyle w:val="TextBody"/>
        <w:bidi w:val="0"/>
        <w:spacing w:before="240" w:after="0"/>
        <w:jc w:val="left"/>
        <w:rPr/>
      </w:pPr>
      <w:r>
        <w:rPr/>
        <w:t>“</w:t>
      </w:r>
      <w:r>
        <w:rPr>
          <w:rFonts w:ascii="Times New Roman" w:hAnsi="Times New Roman"/>
          <w:sz w:val="20"/>
          <w:u w:val="single"/>
        </w:rPr>
        <w:t>Secured Cash Management Obligations</w:t>
      </w:r>
      <w:r>
        <w:rPr>
          <w:rFonts w:ascii="Times New Roman" w:hAnsi="Times New Roman"/>
          <w:sz w:val="20"/>
        </w:rPr>
        <w:t xml:space="preserve">” shall mean obligations owed by a Macerich Entity to a Specified Counterparty in respect of any Cash Management Services, in each case, pursuant to a Secured Treasury Services Agreement, and solely to the extent designated by the Borrower and such Specified Counterparty as “Secured Cash Management Obligations” in writing to the Administrative Agent. The designation of any Secured Cash Management Obligations shall not create in favor of such Specified Counterparty any rights in connection with the management or release of any Collateral or of the obligations of any Guarantor under the Loan Documents. For the avoidance of doubt, any designation of Secured Cash Management Obligations under the Original Credit Agreement or the First Amended and Restated Credit Agreement shall not be affected by the amendment and restatement of this Agreement on the Closing Date. </w:t>
      </w:r>
    </w:p>
    <w:p>
      <w:pPr>
        <w:pStyle w:val="TextBody"/>
        <w:bidi w:val="0"/>
        <w:spacing w:before="240" w:after="0"/>
        <w:jc w:val="left"/>
        <w:rPr/>
      </w:pPr>
      <w:r>
        <w:rPr/>
        <w:t>“</w:t>
      </w:r>
      <w:r>
        <w:rPr>
          <w:rFonts w:ascii="Times New Roman" w:hAnsi="Times New Roman"/>
          <w:sz w:val="20"/>
          <w:u w:val="single"/>
        </w:rPr>
        <w:t>Secured Hedge Agreement</w:t>
      </w:r>
      <w:r>
        <w:rPr>
          <w:rFonts w:ascii="Times New Roman" w:hAnsi="Times New Roman"/>
          <w:sz w:val="20"/>
        </w:rPr>
        <w:t xml:space="preserve">” shall mean any agreement in respect of Hedging Obligations permitted under </w:t>
      </w:r>
      <w:r>
        <w:rPr>
          <w:rFonts w:ascii="Times New Roman" w:hAnsi="Times New Roman"/>
          <w:sz w:val="20"/>
          <w:u w:val="single"/>
        </w:rPr>
        <w:t>Article 8</w:t>
      </w:r>
      <w:r>
        <w:rPr>
          <w:rFonts w:ascii="Times New Roman" w:hAnsi="Times New Roman"/>
          <w:sz w:val="20"/>
        </w:rPr>
        <w:t xml:space="preserve"> that is entered into by and between a Macerich Entity and a Specified Counterparty, to the extent designated by the Borrower and such Specified Counterparty as a “Secured Hedge Agreement” in writing to the Administrative Agent. The designation of any Secured Hedge Agreement shall not create in favor of such Specified Counterparty any rights in connection with the management or release of Collateral or of the obligations of any Guarantor under the Loan Documents. For the avoidance of doubt, any designation of a Secured Hedge Agreement under the Original Credit Agreement or the First Amended and Restated Credit Agreement shall not be affected by the amendment and restatement of this Agreement on the Closing Date. </w:t>
      </w:r>
    </w:p>
    <w:p>
      <w:pPr>
        <w:pStyle w:val="TextBody"/>
        <w:bidi w:val="0"/>
        <w:spacing w:before="240" w:after="0"/>
        <w:jc w:val="left"/>
        <w:rPr/>
      </w:pPr>
      <w:r>
        <w:rPr/>
        <w:t>“</w:t>
      </w:r>
      <w:r>
        <w:rPr>
          <w:rFonts w:ascii="Times New Roman" w:hAnsi="Times New Roman"/>
          <w:sz w:val="20"/>
          <w:u w:val="single"/>
        </w:rPr>
        <w:t>Secured Hedging Obligations</w:t>
      </w:r>
      <w:r>
        <w:rPr>
          <w:rFonts w:ascii="Times New Roman" w:hAnsi="Times New Roman"/>
          <w:sz w:val="20"/>
        </w:rPr>
        <w:t xml:space="preserve">” shall mean, with respect to any Person, the obligations of such Person under any Secured Hedge Agreements. </w:t>
      </w:r>
    </w:p>
    <w:p>
      <w:pPr>
        <w:pStyle w:val="TextBody"/>
        <w:bidi w:val="0"/>
        <w:spacing w:before="240" w:after="0"/>
        <w:jc w:val="left"/>
        <w:rPr/>
      </w:pPr>
      <w:r>
        <w:rPr/>
        <w:t>“</w:t>
      </w:r>
      <w:r>
        <w:rPr>
          <w:rFonts w:ascii="Times New Roman" w:hAnsi="Times New Roman"/>
          <w:sz w:val="20"/>
          <w:u w:val="single"/>
        </w:rPr>
        <w:t>Secured Indebtedness</w:t>
      </w:r>
      <w:r>
        <w:rPr>
          <w:rFonts w:ascii="Times New Roman" w:hAnsi="Times New Roman"/>
          <w:sz w:val="20"/>
        </w:rPr>
        <w:t xml:space="preserve">” shall mean that portion of the aggregate principal amount of all Total Liabilities in respect of Borrowed Indebtedness that is secured by a Lien (other than a Lien in favor of the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Secured Leverage Ratio</w:t>
      </w:r>
      <w:r>
        <w:rPr>
          <w:rFonts w:ascii="Times New Roman" w:hAnsi="Times New Roman"/>
          <w:sz w:val="20"/>
        </w:rPr>
        <w:t xml:space="preserve">” shall mean, as of any date of determination, the ratio, expressed as a percentage, of (i) an amount equal to (A) Secured Indebtedness as of such date minus (B) the aggregate amount of cash and Cash Equivalents (other than Restricted Cash) and cash collateralized letters of credit of the Macerich Entities to (ii) the Capitalization Value as of such date. For purposes hereof, the amount of cash and Cash Equivalents (other than Restricted Cash) and cash collateralized letters of credit of any non-Wholly-Owned Subsidiary or Joint Venture of MAC (i) shall be deemed to be an amount equal to the product of (x) the cash and Cash Equivalents (other than Restricted Cash) and cash collateralized letters of credit of such Person, </w:t>
      </w:r>
      <w:r>
        <w:rPr>
          <w:rFonts w:ascii="Times New Roman" w:hAnsi="Times New Roman"/>
          <w:i/>
          <w:sz w:val="20"/>
        </w:rPr>
        <w:t xml:space="preserve">multiplied by </w:t>
      </w:r>
      <w:r>
        <w:rPr>
          <w:rFonts w:ascii="Times New Roman" w:hAnsi="Times New Roman"/>
          <w:sz w:val="20"/>
        </w:rPr>
        <w:t xml:space="preserve">(y) the percentage of the total outstanding common Capital Stock of such Person directly or indirectly owned by MAC, expressed as a decimal (or the percentage of distributable cash to which the applicable MAC controlled Person is entitled), and (ii) shall only be available to reduce that portion of Secured Indebtedness that is attributable to the applicable Macerich Entity in respect of such Person.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shall mean, collectively, the Obligations, all Erroneous Payment Subrogation Rights, all Secured Cash Management Obligations and all Secured Hedging Obligations.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shall mean the Agents (including any co-agent or sub-agent appointed by the Administrative Agent or the Collateral Agent in accordance with the Loan Documents from time to time), the Issuing Lenders, the Lenders, the Indemnified Persons and the Specified Counterparties. </w:t>
      </w:r>
    </w:p>
    <w:p>
      <w:pPr>
        <w:pStyle w:val="TextBody"/>
        <w:bidi w:val="0"/>
        <w:spacing w:before="240" w:after="0"/>
        <w:jc w:val="left"/>
        <w:rPr/>
      </w:pPr>
      <w:r>
        <w:rPr/>
        <w:t>“</w:t>
      </w:r>
      <w:r>
        <w:rPr>
          <w:rFonts w:ascii="Times New Roman" w:hAnsi="Times New Roman"/>
          <w:sz w:val="20"/>
          <w:u w:val="single"/>
        </w:rPr>
        <w:t>Secured Treasury Services Agreement</w:t>
      </w:r>
      <w:r>
        <w:rPr>
          <w:rFonts w:ascii="Times New Roman" w:hAnsi="Times New Roman"/>
          <w:sz w:val="20"/>
        </w:rPr>
        <w:t xml:space="preserve">” shall mean any agreement between a Macerich Entity and a Specified Counterparty relating to treasury, depository, credit card, debit card and cash management services or automated clearinghouse transfer of funds or any similar services.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shall mean any stock, shares, partnership interests, voting trust certificates, certificates of interest or participation in any profit sharing agreement or arrangement,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shall mean the Pledge Agreement, the Mortgages, the Assignment and Subordination of Property Management Agreements, the Account Control Agreements and all other security documents hereafter delivered to the Collateral Agent purporting to grant a Lien on any Property of any Person to secure the obligations and liabilities of any Borrower Party under any Loan Document.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shall mean a rate equal to the secured overnight financing rate as administered by the SOFR Administrator.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shall mean the Federal Reserve Bank of New York (or a successor administrator of the secured overnight financing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SOFR Administrator’s Website</w:t>
      </w:r>
      <w:r>
        <w:rPr>
          <w:rFonts w:ascii="Times New Roman" w:hAnsi="Times New Roman"/>
          <w:sz w:val="20"/>
        </w:rPr>
        <w:t xml:space="preserve">” shall mean the website of the Federal Reserve Bank of New York, currently at https://www.newyorkfed.org,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shall mean, when used with respect to any Person, that at the time of determination: (i) the fair saleable value of its assets is in excess of the total amount of its liabilities (including, without limitation, contingent liabilities); (ii) the present fair saleable value of its assets is greater than its probable liability on its existing debts as such debts become absolute and matured; (iii) it is then able and expects to be able to pay its debts (including, without limitation, contingent debts and other commitments) as they mature; and (iv) it has capital sufficient to carry on its business as conducted and as proposed to be conducted. </w:t>
      </w:r>
    </w:p>
    <w:p>
      <w:pPr>
        <w:pStyle w:val="TextBody"/>
        <w:bidi w:val="0"/>
        <w:spacing w:before="240" w:after="0"/>
        <w:jc w:val="left"/>
        <w:rPr/>
      </w:pPr>
      <w:r>
        <w:rPr/>
        <w:t>“</w:t>
      </w:r>
      <w:r>
        <w:rPr>
          <w:rFonts w:ascii="Times New Roman" w:hAnsi="Times New Roman"/>
          <w:sz w:val="20"/>
          <w:u w:val="single"/>
        </w:rPr>
        <w:t>Special Flood Hazard Area</w:t>
      </w:r>
      <w:r>
        <w:rPr>
          <w:rFonts w:ascii="Times New Roman" w:hAnsi="Times New Roman"/>
          <w:sz w:val="20"/>
        </w:rPr>
        <w:t xml:space="preserve">” shall mean an area that FEMA’s current flood maps indicate has at least a one percent (1%) chance of a flood equal to or exceeding the base flood elevation (a 100-year flood) in any given year. </w:t>
      </w:r>
    </w:p>
    <w:p>
      <w:pPr>
        <w:pStyle w:val="TextBody"/>
        <w:bidi w:val="0"/>
        <w:spacing w:before="240" w:after="0"/>
        <w:jc w:val="left"/>
        <w:rPr/>
      </w:pPr>
      <w:r>
        <w:rPr/>
        <w:t>“</w:t>
      </w:r>
      <w:r>
        <w:rPr>
          <w:rFonts w:ascii="Times New Roman" w:hAnsi="Times New Roman"/>
          <w:sz w:val="20"/>
          <w:u w:val="single"/>
        </w:rPr>
        <w:t>Specified Borrowing Base Mortgaged Property Asset</w:t>
      </w:r>
      <w:r>
        <w:rPr>
          <w:rFonts w:ascii="Times New Roman" w:hAnsi="Times New Roman"/>
          <w:sz w:val="20"/>
        </w:rPr>
        <w:t xml:space="preserve">” shall mean each of (i) the Former Mervyn’s Box Borrowing Base Mortgaged Property Assets and (ii) the Agent Accepted Ground Lease Borrowing Base Mortgaged Property Assets. </w:t>
      </w:r>
    </w:p>
    <w:p>
      <w:pPr>
        <w:pStyle w:val="TextBody"/>
        <w:bidi w:val="0"/>
        <w:spacing w:before="240" w:after="0"/>
        <w:jc w:val="left"/>
        <w:rPr/>
      </w:pPr>
      <w:r>
        <w:rPr/>
        <w:t>“</w:t>
      </w:r>
      <w:r>
        <w:rPr>
          <w:rFonts w:ascii="Times New Roman" w:hAnsi="Times New Roman"/>
          <w:sz w:val="20"/>
          <w:u w:val="single"/>
        </w:rPr>
        <w:t>Specified Change of Control Event</w:t>
      </w:r>
      <w:r>
        <w:rPr>
          <w:rFonts w:ascii="Times New Roman" w:hAnsi="Times New Roman"/>
          <w:sz w:val="20"/>
        </w:rPr>
        <w:t xml:space="preserve">” shall mean (i) any Retail/Other Property or other Real Property, as applicable, is subject to an insolvency, receivership or other similar proceeding described in </w:t>
      </w:r>
      <w:r>
        <w:rPr>
          <w:rFonts w:ascii="Times New Roman" w:hAnsi="Times New Roman"/>
          <w:sz w:val="20"/>
          <w:u w:val="single"/>
        </w:rPr>
        <w:t>Section 9.7</w:t>
      </w:r>
      <w:r>
        <w:rPr>
          <w:rFonts w:ascii="Times New Roman" w:hAnsi="Times New Roman"/>
          <w:sz w:val="20"/>
        </w:rPr>
        <w:t xml:space="preserve"> applicable to such Real Property, or (ii) is in default with respect to nonrecourse Indebtedness (other than to the Subsidiary of MAC that owns such Real Property) to which it is subject, and is anticipated to undergo full transfer of legal title of the subject Real Property to the lender thereof, upon foreclosure, deed in lieu of foreclosure or otherwise; and (iii) following the transfer of control as provided in clause (ii) above, neither MAC nor any of its Subsidiaries (other than with respect to the Subsidiary of MAC that owns such Real Property and/or the Subsidiary of MAC that is the property manager thereof) shall have any further operating control or liability, including any obligation to make additional capital contributions, in any form with respect to such Real Property (but may continue to provide certain transitional services and during transition of the asset). Nothing contained in this definition is intended to permit MAC or any of its Subsidiaries to commence any insolvency, receivership, bankruptcy or similar proceedings otherwise restricted under this Agreement, including pursuant to</w:t>
      </w:r>
      <w:r>
        <w:rPr>
          <w:rFonts w:ascii="Times New Roman" w:hAnsi="Times New Roman"/>
          <w:sz w:val="20"/>
          <w:u w:val="single"/>
        </w:rPr>
        <w:t xml:space="preserve"> Section 9.7</w:t>
      </w:r>
      <w:r>
        <w:rPr>
          <w:rFonts w:ascii="Times New Roman" w:hAnsi="Times New Roman"/>
          <w:sz w:val="20"/>
        </w:rPr>
        <w:t xml:space="preserve">, and all such provisions shall continue to apply with full force and effect. However, MAC and its Subsidiaries may consent to the commencement of a receivership or similar proceeding with respect to a Subsidiary of MAC and/or its assets if requested by a lender enforcing its rights as to Permitted Indebtedness that is then in default as described in clause (ii) above. </w:t>
      </w:r>
    </w:p>
    <w:p>
      <w:pPr>
        <w:pStyle w:val="TextBody"/>
        <w:bidi w:val="0"/>
        <w:spacing w:before="240" w:after="0"/>
        <w:jc w:val="left"/>
        <w:rPr/>
      </w:pPr>
      <w:r>
        <w:rPr/>
        <w:t>“</w:t>
      </w:r>
      <w:r>
        <w:rPr>
          <w:rFonts w:ascii="Times New Roman" w:hAnsi="Times New Roman"/>
          <w:sz w:val="20"/>
          <w:u w:val="single"/>
        </w:rPr>
        <w:t>Specified Counterparty</w:t>
      </w:r>
      <w:r>
        <w:rPr>
          <w:rFonts w:ascii="Times New Roman" w:hAnsi="Times New Roman"/>
          <w:sz w:val="20"/>
        </w:rPr>
        <w:t>” shall mean any Person that is a Lender, an Agent or an Affiliate of a Lender or an Agent at the time it enters into a Secured Hedge Agreement or a Secured Treasury Services Agreement, as applicable, in its capacity as a party thereto and that is designated a “Specified Counterparty” with respect to such Secured Hedge Agreement or Secured Treasury Services Agreement, as applicable, in a writing from the Borrower to the Administrative Agent, and (other than a Person already party hereto as a Lender or an Agent) that delivers to the Administrative Agent a letter agreement reasonably satisfactory to it (i) appointing each of the Administrative Agent and the Collateral Agent as its agent under the applicable Loan Documents and (ii) agreeing to be bound by</w:t>
      </w:r>
      <w:r>
        <w:rPr>
          <w:rFonts w:ascii="Times New Roman" w:hAnsi="Times New Roman"/>
          <w:sz w:val="20"/>
          <w:u w:val="single"/>
        </w:rPr>
        <w:t xml:space="preserve"> Sections 11.7</w:t>
      </w:r>
      <w:r>
        <w:rPr>
          <w:rFonts w:ascii="Times New Roman" w:hAnsi="Times New Roman"/>
          <w:sz w:val="20"/>
        </w:rPr>
        <w:t>,</w:t>
      </w:r>
      <w:r>
        <w:rPr>
          <w:rFonts w:ascii="Times New Roman" w:hAnsi="Times New Roman"/>
          <w:sz w:val="20"/>
          <w:u w:val="single"/>
        </w:rPr>
        <w:t xml:space="preserve"> 11.12</w:t>
      </w:r>
      <w:r>
        <w:rPr>
          <w:rFonts w:ascii="Times New Roman" w:hAnsi="Times New Roman"/>
          <w:sz w:val="20"/>
        </w:rPr>
        <w:t xml:space="preserve"> and</w:t>
      </w:r>
      <w:r>
        <w:rPr>
          <w:rFonts w:ascii="Times New Roman" w:hAnsi="Times New Roman"/>
          <w:sz w:val="20"/>
          <w:u w:val="single"/>
        </w:rPr>
        <w:t xml:space="preserve"> 11.13</w:t>
      </w:r>
      <w:r>
        <w:rPr>
          <w:rFonts w:ascii="Times New Roman" w:hAnsi="Times New Roman"/>
          <w:sz w:val="20"/>
        </w:rPr>
        <w:t xml:space="preserve"> and </w:t>
      </w:r>
      <w:r>
        <w:rPr>
          <w:rFonts w:ascii="Times New Roman" w:hAnsi="Times New Roman"/>
          <w:sz w:val="20"/>
          <w:u w:val="single"/>
        </w:rPr>
        <w:t>Article 10</w:t>
      </w:r>
      <w:r>
        <w:rPr>
          <w:rFonts w:ascii="Times New Roman" w:hAnsi="Times New Roman"/>
          <w:sz w:val="20"/>
        </w:rPr>
        <w:t xml:space="preserve"> as if it were a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Specified Debt Default</w:t>
      </w:r>
      <w:r>
        <w:rPr>
          <w:rFonts w:ascii="Times New Roman" w:hAnsi="Times New Roman"/>
          <w:sz w:val="20"/>
        </w:rPr>
        <w:t xml:space="preserve">” shall mean a default (after giving effect to any grace or cure periods, if any, set forth in the documents, instruments and agreements evidencing such Indebtedness) by any of the Borrower Parties or any of their respective Subsidiaries or Joint Ventures in any payment of principal of or interest on any recourse Indebtedness (other than the Obligations). A Specified Debt Default with respect to any Indebtedness shall cease to exist once such Specified Debt Default has been waived or cured in accordance with the terms of the documents, instruments and agreements evidencing such Indebtedness or such Indebtedness has otherwise been repaid in full. </w:t>
      </w:r>
    </w:p>
    <w:p>
      <w:pPr>
        <w:pStyle w:val="TextBody"/>
        <w:bidi w:val="0"/>
        <w:spacing w:before="240" w:after="0"/>
        <w:jc w:val="left"/>
        <w:rPr/>
      </w:pPr>
      <w:r>
        <w:rPr/>
        <w:t>“</w:t>
      </w:r>
      <w:r>
        <w:rPr>
          <w:rFonts w:ascii="Times New Roman" w:hAnsi="Times New Roman"/>
          <w:sz w:val="20"/>
          <w:u w:val="single"/>
        </w:rPr>
        <w:t>Specified Default</w:t>
      </w:r>
      <w:r>
        <w:rPr>
          <w:rFonts w:ascii="Times New Roman" w:hAnsi="Times New Roman"/>
          <w:sz w:val="20"/>
        </w:rPr>
        <w:t xml:space="preserve">” shall mean any (i) Potential Default under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9.7</w:t>
      </w:r>
      <w:r>
        <w:rPr>
          <w:rFonts w:ascii="Times New Roman" w:hAnsi="Times New Roman"/>
          <w:sz w:val="20"/>
        </w:rPr>
        <w:t xml:space="preserve"> or (ii) Potential Default that is not capable of being cured. </w:t>
      </w:r>
    </w:p>
    <w:p>
      <w:pPr>
        <w:pStyle w:val="TextBody"/>
        <w:bidi w:val="0"/>
        <w:spacing w:before="240" w:after="0"/>
        <w:jc w:val="left"/>
        <w:rPr/>
      </w:pPr>
      <w:r>
        <w:rPr/>
        <w:t>“</w:t>
      </w:r>
      <w:r>
        <w:rPr>
          <w:rFonts w:ascii="Times New Roman" w:hAnsi="Times New Roman"/>
          <w:sz w:val="20"/>
          <w:u w:val="single"/>
        </w:rPr>
        <w:t>Specified Ground Lease</w:t>
      </w:r>
      <w:r>
        <w:rPr>
          <w:rFonts w:ascii="Times New Roman" w:hAnsi="Times New Roman"/>
          <w:sz w:val="20"/>
        </w:rPr>
        <w:t xml:space="preserve">” shall mean each ground lease to which a Borrowing Base Mortgaged Property Asset is subject. </w:t>
      </w:r>
    </w:p>
    <w:p>
      <w:pPr>
        <w:pStyle w:val="TextBody"/>
        <w:bidi w:val="0"/>
        <w:spacing w:before="240" w:after="0"/>
        <w:jc w:val="left"/>
        <w:rPr/>
      </w:pPr>
      <w:r>
        <w:rPr/>
        <w:t>“</w:t>
      </w:r>
      <w:r>
        <w:rPr>
          <w:rFonts w:ascii="Times New Roman" w:hAnsi="Times New Roman"/>
          <w:sz w:val="20"/>
          <w:u w:val="single"/>
        </w:rPr>
        <w:t>Specified Indebtedness</w:t>
      </w:r>
      <w:r>
        <w:rPr>
          <w:rFonts w:ascii="Times New Roman" w:hAnsi="Times New Roman"/>
          <w:sz w:val="20"/>
        </w:rPr>
        <w:t>” shall mean any Indebtedness of a Subsidiary of a Borrower Party (other than a Subsidiary that is a Borrower Party) (i) that is secured by (A)(x) a single Project (but not more than one Project) or (y) one or more Real Properties that are co-located with each other and do not constitute a Project (each such Project described in clause (i)(A)(x) or Real Property described in clause (i)(A)(y), an “</w:t>
      </w:r>
      <w:r>
        <w:rPr>
          <w:rFonts w:ascii="Times New Roman" w:hAnsi="Times New Roman"/>
          <w:sz w:val="20"/>
          <w:u w:val="single"/>
        </w:rPr>
        <w:t>Applicable Property</w:t>
      </w:r>
      <w:r>
        <w:rPr>
          <w:rFonts w:ascii="Times New Roman" w:hAnsi="Times New Roman"/>
          <w:sz w:val="20"/>
        </w:rPr>
        <w:t xml:space="preserve">”) and/or (B) Capital Stock of (I) the Persons that own such Applicable Property and/or (II) the Persons that operate such Applicable Property, and (ii) for which the sole obligors are (A) the Persons that own such Applicable Property, (B) the Persons that operate such Applicable Property, (C) the immediate parent companies of the Persons described in the immediately preceding clauses (A) and (B) and/or (D) Borrower Parties that have provided Permitted Guaranties of such Indebtedness; provided that (a) the Persons described in clauses (ii)(A), (ii)(B) and (ii)(C) above shall not own any material assets that are unrelated to the Applicable Property (and for the avoidance of doubt, the Persons described in clauses (ii)(A), (ii)(B) above shall not own (I) any Project or Real Property other than the Applicable Property or (II) any Capital Stock of any Person other than the Persons described in clauses (ii)(A) and (ii)(B) above) and (b) no Borrower Party may be an obligor for such Indebtedness other than with respect to Permitted Guaranties. </w:t>
      </w:r>
    </w:p>
    <w:p>
      <w:pPr>
        <w:pStyle w:val="TextBody"/>
        <w:bidi w:val="0"/>
        <w:spacing w:before="240" w:after="0"/>
        <w:jc w:val="left"/>
        <w:rPr/>
      </w:pPr>
      <w:r>
        <w:rPr/>
        <w:t>“</w:t>
      </w:r>
      <w:r>
        <w:rPr>
          <w:rFonts w:ascii="Times New Roman" w:hAnsi="Times New Roman"/>
          <w:sz w:val="20"/>
          <w:u w:val="single"/>
        </w:rPr>
        <w:t>Specified Unencumbered Property Assets</w:t>
      </w:r>
      <w:r>
        <w:rPr>
          <w:rFonts w:ascii="Times New Roman" w:hAnsi="Times New Roman"/>
          <w:sz w:val="20"/>
        </w:rPr>
        <w:t xml:space="preserve">” shall mean the fee and/or ground lease interests in those properties identified on </w:t>
      </w:r>
      <w:r>
        <w:rPr>
          <w:rFonts w:ascii="Times New Roman" w:hAnsi="Times New Roman"/>
          <w:sz w:val="20"/>
          <w:u w:val="single"/>
        </w:rPr>
        <w:t>Schedule 6.29(5)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Stabilization</w:t>
      </w:r>
      <w:r>
        <w:rPr>
          <w:rFonts w:ascii="Times New Roman" w:hAnsi="Times New Roman"/>
          <w:sz w:val="20"/>
        </w:rPr>
        <w:t xml:space="preserve">” shall mean, with respect to any Real Property, the earlier of (i) the date on which eighty five percent (85%) or more of the Gross Leasable Area of such Real Property has been subject to binding leases for a period of twelve (12) months or longer, or (ii) the date twenty-four (24) months after the date that substantially all portions of such Real Property are open to the public and operating in the ordinary course of business. </w:t>
      </w:r>
    </w:p>
    <w:p>
      <w:pPr>
        <w:pStyle w:val="TextBody"/>
        <w:bidi w:val="0"/>
        <w:spacing w:before="240" w:after="0"/>
        <w:jc w:val="left"/>
        <w:rPr/>
      </w:pPr>
      <w:r>
        <w:rPr/>
        <w:t>“</w:t>
      </w:r>
      <w:r>
        <w:rPr>
          <w:rFonts w:ascii="Times New Roman" w:hAnsi="Times New Roman"/>
          <w:sz w:val="20"/>
          <w:u w:val="single"/>
        </w:rPr>
        <w:t>Stated Amount</w:t>
      </w:r>
      <w:r>
        <w:rPr>
          <w:rFonts w:ascii="Times New Roman" w:hAnsi="Times New Roman"/>
          <w:sz w:val="20"/>
        </w:rPr>
        <w:t xml:space="preserve">” shall mean, with respect to any Letter of Credit, the maximum amount available to be drawn thereunder, without regard to whether any conditions to drawing could then be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Statement Date</w:t>
      </w:r>
      <w:r>
        <w:rPr>
          <w:rFonts w:ascii="Times New Roman" w:hAnsi="Times New Roman"/>
          <w:sz w:val="20"/>
        </w:rPr>
        <w:t xml:space="preserve">” shall mean December 31, 2024. </w:t>
      </w:r>
    </w:p>
    <w:p>
      <w:pPr>
        <w:pStyle w:val="TextBody"/>
        <w:bidi w:val="0"/>
        <w:spacing w:before="240" w:after="0"/>
        <w:jc w:val="left"/>
        <w:rPr/>
      </w:pPr>
      <w:r>
        <w:rPr/>
        <w:t>“</w:t>
      </w:r>
      <w:r>
        <w:rPr>
          <w:rFonts w:ascii="Times New Roman" w:hAnsi="Times New Roman"/>
          <w:sz w:val="20"/>
          <w:u w:val="single"/>
        </w:rPr>
        <w:t>Stonewood Ground Lease</w:t>
      </w:r>
      <w:r>
        <w:rPr>
          <w:rFonts w:ascii="Times New Roman" w:hAnsi="Times New Roman"/>
          <w:sz w:val="20"/>
        </w:rPr>
        <w:t xml:space="preserve">” shall mean the ground lease for the Stonewood Property. </w:t>
      </w:r>
    </w:p>
    <w:p>
      <w:pPr>
        <w:pStyle w:val="TextBody"/>
        <w:bidi w:val="0"/>
        <w:spacing w:before="240" w:after="0"/>
        <w:jc w:val="left"/>
        <w:rPr/>
      </w:pPr>
      <w:r>
        <w:rPr/>
        <w:t>“</w:t>
      </w:r>
      <w:r>
        <w:rPr>
          <w:rFonts w:ascii="Times New Roman" w:hAnsi="Times New Roman"/>
          <w:sz w:val="20"/>
          <w:u w:val="single"/>
        </w:rPr>
        <w:t>Stonewood Mortgage</w:t>
      </w:r>
      <w:r>
        <w:rPr>
          <w:rFonts w:ascii="Times New Roman" w:hAnsi="Times New Roman"/>
          <w:sz w:val="20"/>
        </w:rPr>
        <w:t xml:space="preserve">” shall have the meaning given such term in Section 7.8. </w:t>
      </w:r>
    </w:p>
    <w:p>
      <w:pPr>
        <w:pStyle w:val="TextBody"/>
        <w:bidi w:val="0"/>
        <w:spacing w:before="240" w:after="0"/>
        <w:jc w:val="left"/>
        <w:rPr/>
      </w:pPr>
      <w:r>
        <w:rPr/>
        <w:t>“</w:t>
      </w:r>
      <w:r>
        <w:rPr>
          <w:rFonts w:ascii="Times New Roman" w:hAnsi="Times New Roman"/>
          <w:sz w:val="20"/>
          <w:u w:val="single"/>
        </w:rPr>
        <w:t>Stonewood Property</w:t>
      </w:r>
      <w:r>
        <w:rPr>
          <w:rFonts w:ascii="Times New Roman" w:hAnsi="Times New Roman"/>
          <w:sz w:val="20"/>
        </w:rPr>
        <w:t xml:space="preserve">” shall mean the Real Property commonly known as “Stonewood Center” located at 251 &amp; 300 Stonewood Street, 9021, 9245 &amp; 9253 Firestone Boulevard, Downey, California held via leasehold estate as of the date hereof by Macerich Stonewood, LLC, a Delaware limited liability company and Macerich Stonewood Holdings LLC, a Delaware limited liability company.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with respect to any Person: (a) any corporation more than fifty percent (50%) of the outstanding securities having ordinary voting power of which shall at the time be owned or controlled, directly or indirectly, by such Person, (b) any partnership, limited liability company, association, joint venture or similar business organization more than fifty percent (50%) of the ownership interests having ordinary voting power of which shall at the time be owned or controlled, directly or indirectly, by such Person, or (c) with respect to MAC, any other Person in which MAC owns, directly or indirectly, any Capital Stock and, in each case under this clause (c), which would be combined with MAC in the consolidated financial statements of MAC in accordance with GAAP. </w:t>
      </w:r>
    </w:p>
    <w:p>
      <w:pPr>
        <w:pStyle w:val="TextBody"/>
        <w:bidi w:val="0"/>
        <w:spacing w:before="240" w:after="0"/>
        <w:jc w:val="left"/>
        <w:rPr/>
      </w:pPr>
      <w:r>
        <w:rPr/>
        <w:t>“</w:t>
      </w:r>
      <w:r>
        <w:rPr>
          <w:rFonts w:ascii="Times New Roman" w:hAnsi="Times New Roman"/>
          <w:sz w:val="20"/>
          <w:u w:val="single"/>
        </w:rPr>
        <w:t>Subsidiary Entities</w:t>
      </w:r>
      <w:r>
        <w:rPr>
          <w:rFonts w:ascii="Times New Roman" w:hAnsi="Times New Roman"/>
          <w:sz w:val="20"/>
        </w:rPr>
        <w:t xml:space="preserve">” shall mean a Subsidiary or Joint Venture of a Person. Unless otherwise expressly provided, all references in the Loan Documents to a “Subsidiary Entity” shall mean a Subsidiary Entity of MAC. </w:t>
      </w:r>
    </w:p>
    <w:p>
      <w:pPr>
        <w:pStyle w:val="TextBody"/>
        <w:bidi w:val="0"/>
        <w:spacing w:before="240" w:after="0"/>
        <w:jc w:val="left"/>
        <w:rPr/>
      </w:pPr>
      <w:r>
        <w:rPr/>
        <w:t>“</w:t>
      </w:r>
      <w:r>
        <w:rPr>
          <w:rFonts w:ascii="Times New Roman" w:hAnsi="Times New Roman"/>
          <w:sz w:val="20"/>
          <w:u w:val="single"/>
        </w:rPr>
        <w:t>Subsidiary Guarantors</w:t>
      </w:r>
      <w:r>
        <w:rPr>
          <w:rFonts w:ascii="Times New Roman" w:hAnsi="Times New Roman"/>
          <w:sz w:val="20"/>
        </w:rPr>
        <w:t xml:space="preserve">” shall mean each Person that is a party to the Subsidiary Guaranty from time to time as a Guarantor. The Subsidiary Guarantors as of the Closing Date are listed on </w:t>
      </w:r>
      <w:r>
        <w:rPr>
          <w:rFonts w:ascii="Times New Roman" w:hAnsi="Times New Roman"/>
          <w:sz w:val="20"/>
          <w:u w:val="single"/>
        </w:rPr>
        <w:t>Schedule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 Guaranty</w:t>
      </w:r>
      <w:r>
        <w:rPr>
          <w:rFonts w:ascii="Times New Roman" w:hAnsi="Times New Roman"/>
          <w:sz w:val="20"/>
        </w:rPr>
        <w:t>” shall mean that certain Second Amended and Restated Subsidiary Guaranty dated as of the Closing Date executed by each of the Guarantors (as defined therein) from time to time party thereto in favor of the Administrative Agent and, solely for purposes of Section 7 thereof, acknowledged and agreed to by MAC, in substantially the form of</w:t>
      </w:r>
      <w:r>
        <w:rPr>
          <w:rFonts w:ascii="Times New Roman" w:hAnsi="Times New Roman"/>
          <w:sz w:val="20"/>
          <w:u w:val="single"/>
        </w:rPr>
        <w:t xml:space="preserve"> Exhibit I</w:t>
      </w:r>
      <w:r>
        <w:rPr>
          <w:rFonts w:ascii="Times New Roman" w:hAnsi="Times New Roman"/>
          <w:sz w:val="20"/>
        </w:rPr>
        <w:t xml:space="preserve">, as the same may be Modified from time to time.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shall mean any and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Tax Expense</w:t>
      </w:r>
      <w:r>
        <w:rPr>
          <w:rFonts w:ascii="Times New Roman" w:hAnsi="Times New Roman"/>
          <w:sz w:val="20"/>
        </w:rPr>
        <w:t xml:space="preserve">” shall mean (without duplication), for any period, total tax expense (if any) attributable to income and franchise taxes based on or measured by income, whether paid or accrued, of the Consolidated Entities, including the Consolidated Entity’s </w:t>
      </w:r>
      <w:r>
        <w:rPr>
          <w:rFonts w:ascii="Times New Roman" w:hAnsi="Times New Roman"/>
          <w:i/>
          <w:sz w:val="20"/>
        </w:rPr>
        <w:t>pro rata</w:t>
      </w:r>
      <w:r>
        <w:rPr>
          <w:rFonts w:ascii="Times New Roman" w:hAnsi="Times New Roman"/>
          <w:sz w:val="20"/>
        </w:rPr>
        <w:t xml:space="preserve"> share of tax expenses in any Joint Venture. For purposes of this definition, the Consolidated Entities’</w:t>
      </w:r>
      <w:r>
        <w:rPr>
          <w:rFonts w:ascii="Times New Roman" w:hAnsi="Times New Roman"/>
          <w:i/>
          <w:sz w:val="20"/>
        </w:rPr>
        <w:t>pro rata</w:t>
      </w:r>
      <w:r>
        <w:rPr>
          <w:rFonts w:ascii="Times New Roman" w:hAnsi="Times New Roman"/>
          <w:sz w:val="20"/>
        </w:rPr>
        <w:t xml:space="preserve"> share of any such tax expense of any Joint Venture shall be deemed equal to the product of (i) such tax expense of such Joint Venture, </w:t>
      </w:r>
      <w:r>
        <w:rPr>
          <w:rFonts w:ascii="Times New Roman" w:hAnsi="Times New Roman"/>
          <w:i/>
          <w:sz w:val="20"/>
        </w:rPr>
        <w:t>multiplied by</w:t>
      </w:r>
      <w:r>
        <w:rPr>
          <w:rFonts w:ascii="Times New Roman" w:hAnsi="Times New Roman"/>
          <w:sz w:val="20"/>
        </w:rPr>
        <w:t xml:space="preserve"> (ii) the percentage of the total outstanding Capital Stock of such Person held by the Consolidated Entity, expressed as a decimal (or the percentage of distributable cash to which the applicable MAC controlled Person is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SOFR</w:t>
      </w:r>
      <w:r>
        <w:rPr>
          <w:rFonts w:ascii="Times New Roman" w:hAnsi="Times New Roman"/>
          <w:sz w:val="20"/>
        </w:rPr>
        <w:t xml:space="preserve">” shall mean, with respect to each Interest Period, the Term SOFR Reference Rate for a tenor comparable to such Interest Period as determined by the Administrative Agent on the Interest Determination Date for such Interest Period, as such rate is published by the Term SOFR Administrator (as calculated by the Administrative Agent and rounded upwards, if necessary, to the nearest 1/1,000 of 1%); </w:t>
      </w:r>
      <w:r>
        <w:rPr>
          <w:rFonts w:ascii="Times New Roman" w:hAnsi="Times New Roman"/>
          <w:i/>
          <w:sz w:val="20"/>
        </w:rPr>
        <w:t>provided</w:t>
      </w:r>
      <w:r>
        <w:rPr>
          <w:rFonts w:ascii="Times New Roman" w:hAnsi="Times New Roman"/>
          <w:sz w:val="20"/>
        </w:rPr>
        <w:t xml:space="preserve">, that if as of 5:00 p.m. (New York City time) on any Interest Determination Date the Term SOFR Reference Rate for the applicable tenor has not been published by the Term SOFR Administrator and a Benchmark Replacement Date with respect to the Term SOFR Reference Rate has not occurred, then Term SOFR for the related Interest Period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Interest Determination Date; </w:t>
      </w:r>
      <w:r>
        <w:rPr>
          <w:rFonts w:ascii="Times New Roman" w:hAnsi="Times New Roman"/>
          <w:i/>
          <w:sz w:val="20"/>
        </w:rPr>
        <w:t>provided further</w:t>
      </w:r>
      <w:r>
        <w:rPr>
          <w:rFonts w:ascii="Times New Roman" w:hAnsi="Times New Roman"/>
          <w:sz w:val="20"/>
        </w:rPr>
        <w:t xml:space="preserve"> that if Term SOFR as so determined shall ever be less than the Index Floor, then Term SOFR shall be deemed to be the Index Floor.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shall mean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Borrowing</w:t>
      </w:r>
      <w:r>
        <w:rPr>
          <w:rFonts w:ascii="Times New Roman" w:hAnsi="Times New Roman"/>
          <w:sz w:val="20"/>
        </w:rPr>
        <w:t xml:space="preserve">”, when used in reference to any Borrowing, refers to whether the Loans comprising such Borrowing are bearing interest at a rate determined by reference to the Applicable Term SOFR Rate. </w:t>
      </w:r>
    </w:p>
    <w:p>
      <w:pPr>
        <w:pStyle w:val="TextBody"/>
        <w:bidi w:val="0"/>
        <w:spacing w:before="240" w:after="0"/>
        <w:jc w:val="left"/>
        <w:rPr/>
      </w:pPr>
      <w:r>
        <w:rPr/>
        <w:t>“</w:t>
      </w:r>
      <w:r>
        <w:rPr>
          <w:rFonts w:ascii="Times New Roman" w:hAnsi="Times New Roman"/>
          <w:sz w:val="20"/>
          <w:u w:val="single"/>
        </w:rPr>
        <w:t>Term SOFR Loan</w:t>
      </w:r>
      <w:r>
        <w:rPr>
          <w:rFonts w:ascii="Times New Roman" w:hAnsi="Times New Roman"/>
          <w:sz w:val="20"/>
        </w:rPr>
        <w:t xml:space="preserve">”, when used in reference to any Loan, refers to whether the Loans comprising such Borrowing are bearing interest at a rate determined by reference to the Applicable Term SOFR Rate.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shall mean the forward-looking term rate based on SOFR, currently identified on the Term SOFR Administrator’s website at </w:t>
      </w:r>
      <w:r>
        <w:rPr>
          <w:rFonts w:ascii="Times New Roman" w:hAnsi="Times New Roman"/>
          <w:sz w:val="20"/>
          <w:u w:val="single"/>
        </w:rPr>
        <w:t>https://www.cmegroup.com/market-data/cme-group-benchmark-administration/term-sofr.html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Total Leverage Ratio</w:t>
      </w:r>
      <w:r>
        <w:rPr>
          <w:rFonts w:ascii="Times New Roman" w:hAnsi="Times New Roman"/>
          <w:sz w:val="20"/>
        </w:rPr>
        <w:t xml:space="preserve">” shall mean, as of any date of determination, the ratio, expressed as a percentage, of (i) an amount equal to (A) the aggregate principal amount of all Total Liabilities in respect of Borrowed Indebtedness as of such date minus (B) the aggregate amount of cash and Cash Equivalents (other than Restricted Cash) and cash collateralized letters of credit of the Macerich Entities to (ii) EBITDA for the twelve months then most recently ended on or prior to such date. For purposes hereof, the amount of cash and Cash Equivalents (other than Restricted Cash) and cash collateralized letters of credit of any non-Wholly-Owned Subsidiary or Joint Venture of MAC (i) shall be deemed to be an amount equal to the product of (x) the cash and Cash Equivalents (other than Restricted Cash) and cash collateralized letters of credit of such Person, </w:t>
      </w:r>
      <w:r>
        <w:rPr>
          <w:rFonts w:ascii="Times New Roman" w:hAnsi="Times New Roman"/>
          <w:i/>
          <w:sz w:val="20"/>
        </w:rPr>
        <w:t xml:space="preserve">multiplied by </w:t>
      </w:r>
      <w:r>
        <w:rPr>
          <w:rFonts w:ascii="Times New Roman" w:hAnsi="Times New Roman"/>
          <w:sz w:val="20"/>
        </w:rPr>
        <w:t xml:space="preserve">(y) the percentage of the total outstanding common Capital Stock of such Person directly or indirectly owned by MAC, expressed as a decimal (or the percentage of distributable cash to which the applicable MAC controlled Person is entitled), and (ii) shall only be available to reduce that portion of the Total Liabilities in respect of Borrowed Indebtedness that is attributable to the applicable Macerich Entity in respect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Total Liabilities</w:t>
      </w:r>
      <w:r>
        <w:rPr>
          <w:rFonts w:ascii="Times New Roman" w:hAnsi="Times New Roman"/>
          <w:sz w:val="20"/>
        </w:rPr>
        <w:t xml:space="preserve">” shall mean, at any time, without duplication, the aggregate amount of (i) all Indebtedness and other liabilities of the Borrower Parties and other Consolidated Entities that are Wholly-Owned reflected in the financial statements of MAC or disclosed in the notes thereto (to the extent the same would constitute a Contingent Obligation), </w:t>
      </w:r>
      <w:r>
        <w:rPr>
          <w:rFonts w:ascii="Times New Roman" w:hAnsi="Times New Roman"/>
          <w:i/>
          <w:sz w:val="20"/>
        </w:rPr>
        <w:t xml:space="preserve">plus </w:t>
      </w:r>
      <w:r>
        <w:rPr>
          <w:rFonts w:ascii="Times New Roman" w:hAnsi="Times New Roman"/>
          <w:sz w:val="20"/>
        </w:rPr>
        <w:t xml:space="preserve">(ii) for all Consolidated Entities that are not Wholly-Owned, such Borrower Parties’ pro rata share of all Indebtedness and other liabilities reflected in the financial statements of MAC or disclosed in the notes thereto (to the extent the same constitutes a Contingent Obligation), </w:t>
      </w:r>
      <w:r>
        <w:rPr>
          <w:rFonts w:ascii="Times New Roman" w:hAnsi="Times New Roman"/>
          <w:i/>
          <w:sz w:val="20"/>
        </w:rPr>
        <w:t xml:space="preserve">plus </w:t>
      </w:r>
      <w:r>
        <w:rPr>
          <w:rFonts w:ascii="Times New Roman" w:hAnsi="Times New Roman"/>
          <w:sz w:val="20"/>
        </w:rPr>
        <w:t xml:space="preserve">(iii) the Borrower Parties’ </w:t>
      </w:r>
      <w:r>
        <w:rPr>
          <w:rFonts w:ascii="Times New Roman" w:hAnsi="Times New Roman"/>
          <w:i/>
          <w:sz w:val="20"/>
        </w:rPr>
        <w:t xml:space="preserve">pro rata </w:t>
      </w:r>
      <w:r>
        <w:rPr>
          <w:rFonts w:ascii="Times New Roman" w:hAnsi="Times New Roman"/>
          <w:sz w:val="20"/>
        </w:rPr>
        <w:t xml:space="preserve">share of all Indebtedness and other liabilities reflected in the financial statements of any non-Wholly-Owned Subsidiary or Joint Venture or disclosed in the notes thereto (to the extent the same constitutes a Contingent Obligation), </w:t>
      </w:r>
      <w:r>
        <w:rPr>
          <w:rFonts w:ascii="Times New Roman" w:hAnsi="Times New Roman"/>
          <w:i/>
          <w:sz w:val="20"/>
        </w:rPr>
        <w:t xml:space="preserve">plus </w:t>
      </w:r>
      <w:r>
        <w:rPr>
          <w:rFonts w:ascii="Times New Roman" w:hAnsi="Times New Roman"/>
          <w:sz w:val="20"/>
        </w:rPr>
        <w:t xml:space="preserve">(iv) the Borrower Parties’ pro rata share of all liabilities of the Consolidated Entities with respect to purchase and repurchase obligations; </w:t>
      </w:r>
      <w:r>
        <w:rPr>
          <w:rFonts w:ascii="Times New Roman" w:hAnsi="Times New Roman"/>
          <w:sz w:val="20"/>
          <w:u w:val="single"/>
        </w:rPr>
        <w:t>provided</w:t>
      </w:r>
      <w:r>
        <w:rPr>
          <w:rFonts w:ascii="Times New Roman" w:hAnsi="Times New Roman"/>
          <w:sz w:val="20"/>
        </w:rPr>
        <w:t xml:space="preserve"> that any obligations to acquire fully-constructed Real Property shall not be included in Total Liabilities prior to the transfer of title of such Real Property. With respect to any Real Property Under Construction as to which any Consolidated Entity has provided an outstanding and undrawn letter of credit relating to the performance and/or completion of construction at such property, the amount of Indebtedness evidenced by such letter of credit shall be included in Total Liabilities if: (a) such Indebtedness does not duplicate Indebtedness incurred in respect of such Real Property Under Construction (including any off-site improvements associated therewith); (b) such Indebtedness is required by GAAP to be reflected on the liability side of any Consolidated Entities’ balance sheet; and (c) to the extent such Indebtedness is not required by GAAP to be reflected on the liability side of any Consolidated Entities’ balance sheet, then such Indebtedness shall only be included to the extent the amount of such Indebtedness exceeds $40,000,000. For purposes of clauses (ii), (iii) and (iv), the Borrower Parties’ </w:t>
      </w:r>
      <w:r>
        <w:rPr>
          <w:rFonts w:ascii="Times New Roman" w:hAnsi="Times New Roman"/>
          <w:i/>
          <w:sz w:val="20"/>
        </w:rPr>
        <w:t xml:space="preserve">pro rata </w:t>
      </w:r>
      <w:r>
        <w:rPr>
          <w:rFonts w:ascii="Times New Roman" w:hAnsi="Times New Roman"/>
          <w:sz w:val="20"/>
        </w:rPr>
        <w:t xml:space="preserve">share of all Indebtedness and other liabilities of a Consolidated Entity that is not a Borrower Party and is not a Wholly-Owned Subsidiary or of a Joint Venture shall be deemed equal to the product of (a) such Indebtedness or other liabilities, </w:t>
      </w:r>
      <w:r>
        <w:rPr>
          <w:rFonts w:ascii="Times New Roman" w:hAnsi="Times New Roman"/>
          <w:i/>
          <w:sz w:val="20"/>
        </w:rPr>
        <w:t xml:space="preserve">multiplied by </w:t>
      </w:r>
      <w:r>
        <w:rPr>
          <w:rFonts w:ascii="Times New Roman" w:hAnsi="Times New Roman"/>
          <w:sz w:val="20"/>
        </w:rPr>
        <w:t xml:space="preserve">(b) the percentage of the total outstanding Capital Stock of such Person held directly or indirectly by the Borrower Parties, expressed as a decimal (or the percentage of distributable cash to which the applicable MAC controlled Person is entitled). To the extent that Indebtedness in respect of any guaranty or other liability is expressly excluded from the definition of Contingent Obligation, it shall not constitute a Total Liability. Notwithstanding the foregoing, during any period that a Retail/Other Property is subject to a Specified Change of Control Event, the Indebtedness and other liabilities of such Retail/Other Property shall be excluded from Total Liabilities. For clarity, it is agreed that the following are not included in the calculation of Total Liabilities: (a) rental obligations under ground leases, (b) development obligations under public development incentive programs, </w:t>
      </w:r>
      <w:r>
        <w:rPr>
          <w:rFonts w:ascii="Times New Roman" w:hAnsi="Times New Roman"/>
          <w:strike/>
          <w:color w:val="FF0000"/>
          <w:sz w:val="20"/>
        </w:rPr>
        <w:t xml:space="preserve">and </w:t>
      </w:r>
      <w:r>
        <w:rPr>
          <w:rFonts w:ascii="Times New Roman" w:hAnsi="Times New Roman"/>
          <w:sz w:val="20"/>
        </w:rPr>
        <w:t>(c) contingent repayment obligations under tax incentive programs with taxing authorities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 or (d) any obligation that is expressly excluded from the definition of “Indebtedness” or “Borrowed Indebtedness.”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Transactional Affiliates</w:t>
      </w:r>
      <w:r>
        <w:rPr>
          <w:rFonts w:ascii="Times New Roman" w:hAnsi="Times New Roman"/>
          <w:sz w:val="20"/>
        </w:rPr>
        <w:t xml:space="preserve">” shall have the meaning given such term in </w:t>
      </w:r>
      <w:r>
        <w:rPr>
          <w:rFonts w:ascii="Times New Roman" w:hAnsi="Times New Roman"/>
          <w:sz w:val="20"/>
          <w:u w:val="single"/>
        </w:rPr>
        <w:t>Section 8.6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shall mean, collectively, (a) the funding of any initial Revolving Borrowing on the Closing Date and the execution, delivery and performance of the Loan Documents to be entered into on the Closing Date, (b) the Closing Date Payments, and (c) the payment of fees, costs and expenses in connection with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Applicable Term SOFR Rate or the Applicable Base Rate.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shall mean the Uniform Commercial Code.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shall mean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shall mean the applicable Benchmark Replacement determined under the definition thereof excluding the applicable Benchmark Replacement Adjustment. </w:t>
      </w:r>
    </w:p>
    <w:p>
      <w:pPr>
        <w:pStyle w:val="TextBody"/>
        <w:bidi w:val="0"/>
        <w:spacing w:before="240" w:after="0"/>
        <w:jc w:val="left"/>
        <w:rPr/>
      </w:pPr>
      <w:r>
        <w:rPr/>
        <w:t>“</w:t>
      </w:r>
      <w:r>
        <w:rPr>
          <w:rFonts w:ascii="Times New Roman" w:hAnsi="Times New Roman"/>
          <w:sz w:val="20"/>
          <w:u w:val="single"/>
        </w:rPr>
        <w:t>Unaffiliated Partners</w:t>
      </w:r>
      <w:r>
        <w:rPr>
          <w:rFonts w:ascii="Times New Roman" w:hAnsi="Times New Roman"/>
          <w:sz w:val="20"/>
        </w:rPr>
        <w:t xml:space="preserve">” shall mean Persons who own, directly or indirectly at any tier, a beneficial interest in the Capital Stock of a Subsidiary Entity, but such Persons shall exclude: (i) the Macerich Entities; (ii) Affiliates of Macerich Entities; and (iii) Persons whose Capital Stock or beneficial interest therein is owned, directly or indirectly at any tier, by the Macerich Entities or their Affiliates. </w:t>
      </w:r>
    </w:p>
    <w:p>
      <w:pPr>
        <w:pStyle w:val="TextBody"/>
        <w:bidi w:val="0"/>
        <w:spacing w:before="240" w:after="0"/>
        <w:jc w:val="left"/>
        <w:rPr/>
      </w:pPr>
      <w:r>
        <w:rPr/>
        <w:t>“</w:t>
      </w:r>
      <w:r>
        <w:rPr>
          <w:rFonts w:ascii="Times New Roman" w:hAnsi="Times New Roman"/>
          <w:sz w:val="20"/>
          <w:u w:val="single"/>
        </w:rPr>
        <w:t>Unencumbered EBITDA</w:t>
      </w:r>
      <w:r>
        <w:rPr>
          <w:rFonts w:ascii="Times New Roman" w:hAnsi="Times New Roman"/>
          <w:sz w:val="20"/>
        </w:rPr>
        <w:t xml:space="preserve">” shall mean that portion of EBITDA which represents earnings from Real Properties that are not subject to or encumbered by indebtedness of the type described in the definition of Secured Indebtedness and are not subject to any agreements which would restrict, directly or indirectly, the ability of the owner of such Real Property from granting Liens thereon to secure the Secured Obligations or other Indebtedness of the type described in the definition of Secured Indebtedness. </w:t>
      </w:r>
    </w:p>
    <w:p>
      <w:pPr>
        <w:pStyle w:val="TextBody"/>
        <w:bidi w:val="0"/>
        <w:spacing w:before="240" w:after="0"/>
        <w:jc w:val="left"/>
        <w:rPr/>
      </w:pPr>
      <w:r>
        <w:rPr/>
        <w:t>“</w:t>
      </w:r>
      <w:r>
        <w:rPr>
          <w:rFonts w:ascii="Times New Roman" w:hAnsi="Times New Roman"/>
          <w:sz w:val="20"/>
          <w:u w:val="single"/>
        </w:rPr>
        <w:t>Unencumbered Pool Property</w:t>
      </w:r>
      <w:r>
        <w:rPr>
          <w:rFonts w:ascii="Times New Roman" w:hAnsi="Times New Roman"/>
          <w:sz w:val="20"/>
        </w:rPr>
        <w:t xml:space="preserve">” shall mean an Unencumbered Property that satisfies each of the following criteria at all times (as determined by the Required Lenders): (a) such property is owned 100% by the Borrower or a Wholly-Owned Subsidiary of the Borrower in fee simple or a leasehold per a Qualifying Ground Lease; (b) eighty percent (80%) or more of the Gross Leasable Area of such property is subject to binding leases (excluding any Gross Leasable Area undergoing development or redevelopment); (c) sixty-five percent (65%) or more of the Gross Leasable Area of such property is subject to binding leases for a period of twelve (12) months or longer (excluding any Gross Leasable Area undergoing development or redevelopment); (d)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(e) such property is a Retail/Other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Unencumbered Pool Properties Value</w:t>
      </w:r>
      <w:r>
        <w:rPr>
          <w:rFonts w:ascii="Times New Roman" w:hAnsi="Times New Roman"/>
          <w:sz w:val="20"/>
        </w:rPr>
        <w:t xml:space="preserve">” shall mean the aggregate sum of Value for all Unencumbered Pool Properties, determined individually for each Unencumbered Pool Property; </w:t>
      </w:r>
      <w:r>
        <w:rPr>
          <w:rFonts w:ascii="Times New Roman" w:hAnsi="Times New Roman"/>
          <w:sz w:val="20"/>
          <w:u w:val="single"/>
        </w:rPr>
        <w:t>provided</w:t>
      </w:r>
      <w:r>
        <w:rPr>
          <w:rFonts w:ascii="Times New Roman" w:hAnsi="Times New Roman"/>
          <w:sz w:val="20"/>
        </w:rPr>
        <w:t xml:space="preserve"> that, (i) no greater than forty percent (40%) of the aggregate Unencumbered Pool Properties Value may be contributed by any single Unencumbered Pool Property and (ii) no greater than twenty percent (20%) of the aggregate Unencumbered Pool Properties Value may be contributed by Unencumbered Pool Properties (taken together) that are more than 50% by land area subject to a Qualifying Ground Lease. </w:t>
      </w:r>
    </w:p>
    <w:p>
      <w:pPr>
        <w:pStyle w:val="TextBody"/>
        <w:bidi w:val="0"/>
        <w:spacing w:before="240" w:after="0"/>
        <w:jc w:val="left"/>
        <w:rPr/>
      </w:pPr>
      <w:r>
        <w:rPr/>
        <w:t>“</w:t>
      </w:r>
      <w:r>
        <w:rPr>
          <w:rFonts w:ascii="Times New Roman" w:hAnsi="Times New Roman"/>
          <w:sz w:val="20"/>
          <w:u w:val="single"/>
        </w:rPr>
        <w:t>Unencumbered Property</w:t>
      </w:r>
      <w:r>
        <w:rPr>
          <w:rFonts w:ascii="Times New Roman" w:hAnsi="Times New Roman"/>
          <w:sz w:val="20"/>
        </w:rPr>
        <w:t xml:space="preserve">” shall mean any Real Property of the Borrower Parties and other Consolidated Entities that is not, or that ceases to be, encumbered by Liens securing indebtedness in respect of borrowed money (whether or not the recourse of the lender is to the whole of the assets of a Person or only to a portion thereof, and including construction loans) or that is evidenced by bonds, notes, debentures or similar instruments, whether as a result of debt repayments or otherwise. </w:t>
      </w:r>
    </w:p>
    <w:p>
      <w:pPr>
        <w:pStyle w:val="TextBody"/>
        <w:bidi w:val="0"/>
        <w:spacing w:before="240" w:after="0"/>
        <w:jc w:val="left"/>
        <w:rPr/>
      </w:pPr>
      <w:r>
        <w:rPr/>
        <w:t>“</w:t>
      </w:r>
      <w:r>
        <w:rPr>
          <w:rFonts w:ascii="Times New Roman" w:hAnsi="Times New Roman"/>
          <w:sz w:val="20"/>
          <w:u w:val="single"/>
        </w:rPr>
        <w:t>Unfunded Pension Liability</w:t>
      </w:r>
      <w:r>
        <w:rPr>
          <w:rFonts w:ascii="Times New Roman" w:hAnsi="Times New Roman"/>
          <w:sz w:val="20"/>
        </w:rPr>
        <w:t xml:space="preserve">” shall mean the excess of a Pension Plan’s benefit liabilities under Section 4001(a)(16) of ERISA, over the current value of that Plan’s assets, determined in accordance with the assumptions used for funding the Pension Plan pursuant to Section 412 of the Code for the applicable plan year. </w:t>
      </w:r>
    </w:p>
    <w:p>
      <w:pPr>
        <w:pStyle w:val="TextBody"/>
        <w:bidi w:val="0"/>
        <w:spacing w:before="240" w:after="0"/>
        <w:jc w:val="left"/>
        <w:rPr/>
      </w:pPr>
      <w:r>
        <w:rPr/>
        <w:t>“</w:t>
      </w:r>
      <w:r>
        <w:rPr>
          <w:rFonts w:ascii="Times New Roman" w:hAnsi="Times New Roman"/>
          <w:sz w:val="20"/>
          <w:u w:val="single"/>
        </w:rPr>
        <w:t>Unsecured Indebtedness</w:t>
      </w:r>
      <w:r>
        <w:rPr>
          <w:rFonts w:ascii="Times New Roman" w:hAnsi="Times New Roman"/>
          <w:sz w:val="20"/>
        </w:rPr>
        <w:t xml:space="preserve">” shall mean that portion of the aggregate principal amount of all Total Liabilities in respect of Borrowed Indebtedness that is not secured by a Lien. </w:t>
      </w:r>
    </w:p>
    <w:p>
      <w:pPr>
        <w:pStyle w:val="TextBody"/>
        <w:bidi w:val="0"/>
        <w:spacing w:before="240" w:after="0"/>
        <w:jc w:val="left"/>
        <w:rPr/>
      </w:pPr>
      <w:r>
        <w:rPr/>
        <w:t>“</w:t>
      </w:r>
      <w:r>
        <w:rPr>
          <w:rFonts w:ascii="Times New Roman" w:hAnsi="Times New Roman"/>
          <w:sz w:val="20"/>
          <w:u w:val="single"/>
        </w:rPr>
        <w:t>Unsecured Interest Coverage Ratio</w:t>
      </w:r>
      <w:r>
        <w:rPr>
          <w:rFonts w:ascii="Times New Roman" w:hAnsi="Times New Roman"/>
          <w:sz w:val="20"/>
        </w:rPr>
        <w:t xml:space="preserve">” shall mean, as of any date of determination, the ratio of (i) Unencumbered EBITDA for the twelve months then most recently ended on or prior to such date to (ii) Unsecured Interest Expense for the twelve months then most recently ended on or prior to such date. </w:t>
      </w:r>
    </w:p>
    <w:p>
      <w:pPr>
        <w:pStyle w:val="TextBody"/>
        <w:bidi w:val="0"/>
        <w:spacing w:before="240" w:after="0"/>
        <w:jc w:val="left"/>
        <w:rPr/>
      </w:pPr>
      <w:r>
        <w:rPr/>
        <w:t>“</w:t>
      </w:r>
      <w:r>
        <w:rPr>
          <w:rFonts w:ascii="Times New Roman" w:hAnsi="Times New Roman"/>
          <w:sz w:val="20"/>
          <w:u w:val="single"/>
        </w:rPr>
        <w:t>Unsecured Interest Expense</w:t>
      </w:r>
      <w:r>
        <w:rPr>
          <w:rFonts w:ascii="Times New Roman" w:hAnsi="Times New Roman"/>
          <w:sz w:val="20"/>
        </w:rPr>
        <w:t xml:space="preserve">” shall mean Interest Expense in respect of Unsecured Indebtedness. </w:t>
      </w:r>
    </w:p>
    <w:p>
      <w:pPr>
        <w:pStyle w:val="TextBody"/>
        <w:bidi w:val="0"/>
        <w:spacing w:before="240" w:after="0"/>
        <w:jc w:val="left"/>
        <w:rPr/>
      </w:pPr>
      <w:r>
        <w:rPr/>
        <w:t>“</w:t>
      </w:r>
      <w:r>
        <w:rPr>
          <w:rFonts w:ascii="Times New Roman" w:hAnsi="Times New Roman"/>
          <w:sz w:val="20"/>
          <w:u w:val="single"/>
        </w:rPr>
        <w:t>Unsecured Leverage Ratio</w:t>
      </w:r>
      <w:r>
        <w:rPr>
          <w:rFonts w:ascii="Times New Roman" w:hAnsi="Times New Roman"/>
          <w:sz w:val="20"/>
        </w:rPr>
        <w:t xml:space="preserve">” shall mean, as of any date of determination, the ratio, expressed as a percentage, of (i) an amount equal to (A) Unsecured Indebtedness as of such date minus (B) the aggregate amount of cash and Cash Equivalents (other than Restricted Cash) and cash collateralized letters of credit of the Macerich Entities as of such date to (ii) the Capitalization Value (Unencumbered Property) as of such date. For purposes hereof, the amount of cash and Cash Equivalents (other than Restricted Cash) and cash collateralized letters of credit of any non-Wholly-Owned Subsidiary or Joint Venture of MAC (i) shall be deemed to be an amount equal to the product of (x) the cash and Cash Equivalents (other than Restricted Cash) and cash collateralized letters of credit of such Person, </w:t>
      </w:r>
      <w:r>
        <w:rPr>
          <w:rFonts w:ascii="Times New Roman" w:hAnsi="Times New Roman"/>
          <w:i/>
          <w:sz w:val="20"/>
        </w:rPr>
        <w:t xml:space="preserve">multiplied by </w:t>
      </w:r>
      <w:r>
        <w:rPr>
          <w:rFonts w:ascii="Times New Roman" w:hAnsi="Times New Roman"/>
          <w:sz w:val="20"/>
        </w:rPr>
        <w:t xml:space="preserve">(y) the percentage of the total outstanding common Capital Stock of such Person directly or indirectly owned by MAC, expressed as a decimal (or the percentage of distributable cash to which the applicable MAC controlled Person is entitled), and (ii) shall only be available to reduce that portion of Unsecured Indebtedness that is attributable to the applicable Macerich Entity in respect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Unused Commitments</w:t>
      </w:r>
      <w:r>
        <w:rPr>
          <w:rFonts w:ascii="Times New Roman" w:hAnsi="Times New Roman"/>
          <w:sz w:val="20"/>
        </w:rPr>
        <w:t xml:space="preserve">” shall mean, with respect to any Revolving Lender at any time, the difference of (i) the total amount of such Revolving Lender’s Revolving Commitment and (ii) such Revolving Lender’s Revolving Credit Exposure. </w:t>
      </w:r>
    </w:p>
    <w:p>
      <w:pPr>
        <w:pStyle w:val="TextBody"/>
        <w:bidi w:val="0"/>
        <w:spacing w:before="240" w:after="0"/>
        <w:jc w:val="left"/>
        <w:rPr/>
      </w:pPr>
      <w:r>
        <w:rPr/>
        <w:t>“</w:t>
      </w:r>
      <w:r>
        <w:rPr>
          <w:rFonts w:ascii="Times New Roman" w:hAnsi="Times New Roman"/>
          <w:sz w:val="20"/>
          <w:u w:val="single"/>
        </w:rPr>
        <w:t>Unused Line Fee</w:t>
      </w:r>
      <w:r>
        <w:rPr>
          <w:rFonts w:ascii="Times New Roman" w:hAnsi="Times New Roman"/>
          <w:sz w:val="20"/>
        </w:rPr>
        <w:t>” shall have the meaning as set forth in</w:t>
      </w:r>
      <w:r>
        <w:rPr>
          <w:rFonts w:ascii="Times New Roman" w:hAnsi="Times New Roman"/>
          <w:sz w:val="20"/>
          <w:u w:val="single"/>
        </w:rPr>
        <w:t xml:space="preserve"> 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shall mean any day except for (a) a Saturday, (b) a Sunday, or (c) a day on which the Securities Industry and Financial Markets Association, or any successor thereto,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w:t>
      </w:r>
      <w:r>
        <w:rPr>
          <w:rFonts w:ascii="Times New Roman" w:hAnsi="Times New Roman"/>
          <w:strike/>
          <w:color w:val="FF0000"/>
          <w:sz w:val="20"/>
        </w:rPr>
        <w:t>means</w:t>
      </w:r>
      <w:r>
        <w:rPr>
          <w:rFonts w:ascii="Times New Roman" w:hAnsi="Times New Roman"/>
          <w:color w:val="0000FF"/>
          <w:sz w:val="20"/>
          <w:u w:val="single"/>
          <w:bdr w:val="double" w:sz="2" w:space="1" w:color="000000"/>
        </w:rPr>
        <w:t>shall mean</w:t>
      </w:r>
      <w:r>
        <w:rPr>
          <w:rFonts w:ascii="Times New Roman" w:hAnsi="Times New Roman"/>
          <w:sz w:val="20"/>
        </w:rPr>
        <w:t xml:space="preserve"> any United States citizen, any lawful permanent resident, any entity organized under the laws of the United States or any jurisdiction within the United States, including any foreign branch of any such entity, or any person in the United States. </w:t>
      </w:r>
    </w:p>
    <w:p>
      <w:pPr>
        <w:pStyle w:val="TextBody"/>
        <w:bidi w:val="0"/>
        <w:spacing w:before="240" w:after="0"/>
        <w:jc w:val="left"/>
        <w:rPr/>
      </w:pPr>
      <w:r>
        <w:rPr/>
        <w:t>“</w:t>
      </w:r>
      <w:r>
        <w:rPr>
          <w:rFonts w:ascii="Times New Roman" w:hAnsi="Times New Roman"/>
          <w:sz w:val="20"/>
          <w:u w:val="single"/>
        </w:rPr>
        <w:t>Value</w:t>
      </w:r>
      <w:r>
        <w:rPr>
          <w:rFonts w:ascii="Times New Roman" w:hAnsi="Times New Roman"/>
          <w:sz w:val="20"/>
        </w:rPr>
        <w:t xml:space="preserve">” shall mean, as of any date of determination with respect to any Unencumbered Pool Property, an amount equal to (i) the Property NOI of such Unencumbered Pool Property divided by (ii) (a) for any Unencumbered Pool Property which was previously a Borrowing Base Mortgaged Property Asset, a percentage capitalization rate for such Unencumbered Pool Property that applied when such Borrowing Base Unencumbered Equity Interest Asset was a Borrowing Base Mortgaged Property Asset or (b) for any other Unencumbered Pool Property, a percentage capitalization rate equal to the Adjusted Appraisal Capitalization Rate for such Unencumbered Pool Property. </w:t>
      </w:r>
    </w:p>
    <w:p>
      <w:pPr>
        <w:pStyle w:val="TextBody"/>
        <w:bidi w:val="0"/>
        <w:spacing w:before="240" w:after="0"/>
        <w:jc w:val="left"/>
        <w:rPr/>
      </w:pPr>
      <w:r>
        <w:rPr/>
        <w:t>“</w:t>
      </w:r>
      <w:r>
        <w:rPr>
          <w:rFonts w:ascii="Times New Roman" w:hAnsi="Times New Roman"/>
          <w:sz w:val="20"/>
          <w:u w:val="single"/>
        </w:rPr>
        <w:t>Wholly-Owned</w:t>
      </w:r>
      <w:r>
        <w:rPr>
          <w:rFonts w:ascii="Times New Roman" w:hAnsi="Times New Roman"/>
          <w:sz w:val="20"/>
        </w:rPr>
        <w:t xml:space="preserve">” shall mean, with respect to any Real Property, Capital Stock, or other Property owned or leased, that (i) title to such Property is held directly by, or such Property is leased by, the Borrower, or (ii) in the case of Real Property or Capital Stock, title to such property is held by, or (in the case of Real Property) such Property is leased by, a Consolidated Entity at least 99% of the Capital Stock of which is held of record and beneficially by the Borrower (or a Person whose Capital Stock is owned 100% by the Borrower) and the balance of the Capital Stock of which (if any) is held of record and beneficially by MAC (or a Person whose Capital Stock is owned 100% by MAC). References to Property Wholly-Owned by a Macerich Entity shall mean property 100% owned by such Person.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shall mean any Borrower Party and the Administrative Agent.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Other Interpretive Provisions</w:t>
      </w:r>
      <w:r>
        <w:rPr>
          <w:rFonts w:ascii="Times New Roman" w:hAnsi="Times New Roman"/>
          <w:sz w:val="20"/>
        </w:rPr>
        <w:t xml:space="preserve">. The definitions of terms herein shall apply equally applicable to the singular and plural forms of the defined terms. Terms (including uncapitalized terms) not otherwise defined herein and that are defined in the UCC shall have the meanings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(1) The words “hereof”, “herein”, “hereunder” and similar words refer to this Agreement as a whole and not to any particular provision of this Agreement; and Section, subsection, Schedule and Exhibit references are to this Agreement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(2)(i) The term “documents” includes any and all instruments, documents, agreements, certificates, indentures, notices and other writings, however evidenced; </w:t>
      </w:r>
    </w:p>
    <w:p>
      <w:pPr>
        <w:pStyle w:val="TextBody"/>
        <w:bidi w:val="0"/>
        <w:spacing w:before="120" w:after="0"/>
        <w:jc w:val="left"/>
        <w:rPr>
          <w:rFonts w:ascii="Times New Roman" w:hAnsi="Times New Roman"/>
          <w:sz w:val="20"/>
        </w:rPr>
      </w:pPr>
      <w:r>
        <w:rPr>
          <w:rFonts w:ascii="Times New Roman" w:hAnsi="Times New Roman"/>
          <w:sz w:val="20"/>
        </w:rPr>
        <w:t xml:space="preserve">(ii) The term “including” is not limiting and means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(iii) In the computation of periods of time from a specified date to a later specified date, the word “from” means “from and including,” the words “to” and “until” each mean “to but excluding,” and the word “through” means “to and including;” </w:t>
      </w:r>
    </w:p>
    <w:p>
      <w:pPr>
        <w:pStyle w:val="TextBody"/>
        <w:bidi w:val="0"/>
        <w:spacing w:before="120" w:after="0"/>
        <w:jc w:val="left"/>
        <w:rPr>
          <w:rFonts w:ascii="Times New Roman" w:hAnsi="Times New Roman"/>
          <w:sz w:val="20"/>
        </w:rPr>
      </w:pPr>
      <w:r>
        <w:rPr>
          <w:rFonts w:ascii="Times New Roman" w:hAnsi="Times New Roman"/>
          <w:sz w:val="20"/>
        </w:rPr>
        <w:t xml:space="preserve">(iv) The term “property” includes any kind of property or asset, real, personal or mixed, tangible or intangible; and </w:t>
      </w:r>
    </w:p>
    <w:p>
      <w:pPr>
        <w:pStyle w:val="TextBody"/>
        <w:bidi w:val="0"/>
        <w:spacing w:before="120" w:after="0"/>
        <w:jc w:val="left"/>
        <w:rPr>
          <w:rFonts w:ascii="Times New Roman" w:hAnsi="Times New Roman"/>
          <w:sz w:val="20"/>
        </w:rPr>
      </w:pPr>
      <w:r>
        <w:rPr>
          <w:rFonts w:ascii="Times New Roman" w:hAnsi="Times New Roman"/>
          <w:sz w:val="20"/>
        </w:rPr>
        <w:t xml:space="preserve">(v) The verb “exists” and its correlative noun forms, with reference to a Potential Default or an Event of Default, means that such Potential Default or Event of Default has occurred and continues uncured and unwaived. </w:t>
      </w:r>
    </w:p>
    <w:p>
      <w:pPr>
        <w:pStyle w:val="TextBody"/>
        <w:bidi w:val="0"/>
        <w:spacing w:before="240" w:after="0"/>
        <w:jc w:val="left"/>
        <w:rPr>
          <w:rFonts w:ascii="Times New Roman" w:hAnsi="Times New Roman"/>
          <w:sz w:val="20"/>
        </w:rPr>
      </w:pPr>
      <w:r>
        <w:rPr>
          <w:rFonts w:ascii="Times New Roman" w:hAnsi="Times New Roman"/>
          <w:sz w:val="20"/>
        </w:rPr>
        <w:t xml:space="preserve">(3) Unless otherwise expressly provided herein, (i) references to agreements (including this Agreement) and other contractual instruments shall be deemed to include all subsequent Modifications thereto, but only to the extent such Modifications are not prohibited by the terms of any Loan Document, (ii) references to any statute or regulation are to be construed as including all statutory and regulatory provisions consolidating, amending, replacing, supplementing or interpreting the statute or regulation, and (iii) references to any Person include its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(4) This Agreement and the other Loan Documents may use several different limitations, tests or measurements to regulate the same or similar matters. All such limitations, tests and measurements are cumulative and shall each be performed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(5) Any reference herein or in any other Loan Document to an assignment, sale, disposition or transfer, or similar term, shall be deemed to apply to a division of or by a limited liability company, limited partnership or trust, or an allocation of assets to a series of a limited liability company, limited partnership or trust, as if it were an assignment, sale, disposition or transfer, or similar term, as applicable, to, of or with a separate Person, and any reference herein to a merger, consolidation or amalgamation, or similar term, shall be deemed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apply to the unwinding of such a division or allocation, as if it were a merger, consolidation or amalgamation, or similar term, as applicable, with a separate Person. Any division of a limited liability company, limited partnership or trust shall constitute a separate Person hereunder (and each division of any limited liability company, limited partnership or trust that is a Subsidiary, a Joint Venture or any other like term shall also constitute such a Person).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Rates</w:t>
      </w:r>
      <w:r>
        <w:rPr>
          <w:rFonts w:ascii="Times New Roman" w:hAnsi="Times New Roman"/>
          <w:sz w:val="20"/>
        </w:rPr>
        <w:t xml:space="preserve">. The Administrative Agent does not warrant or accept any responsibility for, and shall not have any liability with respect to, (a) the continuation of, administration of, submission of, calculation of or any other matter related to the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p>
    <w:p>
      <w:pPr>
        <w:pStyle w:val="TextBody"/>
        <w:bidi w:val="0"/>
        <w:spacing w:before="0" w:after="0"/>
        <w:jc w:val="right"/>
        <w:rPr>
          <w:rFonts w:ascii="Times New Roman" w:hAnsi="Times New Roman"/>
          <w:b/>
          <w:sz w:val="20"/>
        </w:rPr>
      </w:pPr>
      <w:bookmarkStart w:id="11" w:name="d106117dex991.htm"/>
      <w:bookmarkStart w:id="12" w:name="ksd106117dex991"/>
      <w:bookmarkEnd w:id="11"/>
      <w:bookmarkEnd w:id="12"/>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Macerich Announces Proposed Offering of Exchangeable Senior Notes </w:t>
      </w:r>
    </w:p>
    <w:p>
      <w:pPr>
        <w:pStyle w:val="TextBody"/>
        <w:bidi w:val="0"/>
        <w:spacing w:before="240" w:after="0"/>
        <w:jc w:val="left"/>
        <w:rPr>
          <w:rFonts w:ascii="Times New Roman" w:hAnsi="Times New Roman"/>
          <w:sz w:val="20"/>
        </w:rPr>
      </w:pPr>
      <w:r>
        <w:rPr>
          <w:rFonts w:ascii="Times New Roman" w:hAnsi="Times New Roman"/>
          <w:b/>
          <w:sz w:val="20"/>
        </w:rPr>
        <w:t>SANTA MONICA, Calif., August</w:t>
      </w:r>
      <w:r>
        <w:rPr>
          <w:rFonts w:ascii="Times New Roman" w:hAnsi="Times New Roman"/>
          <w:sz w:val="20"/>
        </w:rPr>
        <w:t> </w:t>
      </w:r>
      <w:r>
        <w:rPr>
          <w:rFonts w:ascii="Times New Roman" w:hAnsi="Times New Roman"/>
          <w:b/>
          <w:sz w:val="20"/>
        </w:rPr>
        <w:t>6, 2026</w:t>
      </w:r>
      <w:r>
        <w:rPr>
          <w:rFonts w:ascii="Times New Roman" w:hAnsi="Times New Roman"/>
          <w:sz w:val="20"/>
        </w:rPr>
        <w:t xml:space="preserve"> – The Macerich Company (NYSE: MAC) (“Macerich”) announced today that its operating partnership, The Macerich Partnership, L.P. (“Macerich Partnership”), intends to offer, subject to market and other conditions, $600 million aggregate principal amount of exchangeable senior notes due 2031 (the “notes”) in a private offering to persons reasonably believed to be qualified institutional buyers pursuant to Rule 144A under the Securities Act of 1933, as amended (the “Securities Act”). Macerich will fully and unconditionally guarantee the notes on a senior, unsecured basis. Macerich Partnership also expects to grant the initial purchasers of the notes a 13-day option to purchase up to an additional $90 million aggregate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senior, unsecured obligations of Macerich Partnership, and will accrue interest payable semi-annually in arrears. The notes will mature on August 15, 2031, unless earlier repurchased, exchanged or redeemed. Noteholders will have the right to exchange their notes in certain circumstances and during specified periods. Exchanges will be settled in cash up to the aggregate principal amount of the notes to be exchanged and, if applicable, cash, shares of Macerich’s common stock or a combination thereof, at Macerich Partnership’s election, in respect of the remainder (if any) of Macerich Partnership’s exchange obligations in excess of the aggregate principal amount of the notes being exchanged.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(subject to certain limitations), for cash at Macerich Partnership’s option at any time, and from time to time, on or after August 20, 2029 and on or before the 41st scheduled trading day immediately before the maturity date of the notes, but only if the last reported sale price per share of Macerich’s common stock exceeds 130% of the exchange price of the notes for a specified period of time and certain other conditions are satisfied. Macerich Partnership may also redeem the notes, in whole or in part (subject to certain limitations), for cash at any time, and from time to time, if Macerich’s board of directors (or a committee thereof) determines such redemption is necessary to preserve Macerich’s status as a real estate investment trust. In either case, the redemption price will be equal to the principal amount of the notes to be redeemed, plus accrued and unpaid interest, if any, to, but excluding, the redemption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of the notes will be entitled to the benefits of a registration rights agreement pursuant to which Macerich will agree to register the resale of the shares of Macerich’s common stock, if any, deliverable upon exchange of the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initial exchange rate and other terms of the notes will be determined at the pricing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pricing of the notes, Macerich Partnership and Macerich expect to enter into privately negotiated capped call transactions with one or more of the initial purchasers of the notes or their respective affiliates or certain other financial institutions (the “option counterparties”). The capped call transactions will cover, subject to customary adjustments, the number of shares of Macerich’s common stock initially underlying the notes. The capped call transactions are expected generally to reduce the potential dilution to Macerich’s common stock upon any exchange of notes and/or offset any cash payments Macerich Partnership is required to make in excess of the principal amount of exchanged notes, as the case may be, with such reduction and/or offset subject to a cap. </w:t>
      </w:r>
    </w:p>
    <w:p>
      <w:pPr>
        <w:pStyle w:val="TextBody"/>
        <w:bidi w:val="0"/>
        <w:spacing w:before="240" w:after="0"/>
        <w:jc w:val="left"/>
        <w:rPr>
          <w:rFonts w:ascii="Times New Roman" w:hAnsi="Times New Roman"/>
          <w:sz w:val="20"/>
        </w:rPr>
      </w:pPr>
      <w:r>
        <w:rPr>
          <w:rFonts w:ascii="Times New Roman" w:hAnsi="Times New Roman"/>
          <w:sz w:val="20"/>
        </w:rPr>
        <w:t xml:space="preserve">Macerich Partnership has been advised that, in connection with establishing their initial hedges of the capped call transactions, the option counterparties or their respective affiliates will enter into various derivative transactions with respect to Macerich’s common stock and/or purchase shares of Macerich’s common stock or other securities of Macerich in secondary market transactions concurrently with, or shortly after, the pricing of the notes, including with, or from, as the case may be, certain investors in the notes. This activity could increase (or reduce the size of any decrease in) the market price of Macerich’s common stock or the notes at that time. In addition, Macerich Partnership expects that the option counterparties or their respective affiliates may modify their hedge positions by entering into or unwinding various derivatives with respect to Macerich’s common stock and/or purchasing or selling Macerich’s common stock or other securities of Macerich or Macerich Partnership in secondary market transactions following the pricing of the notes and prior to the maturity of the notes (and are likely to do so following any repurchase of notes by Macerich Partnership on a fundamental change repurchase date, any redemption date or exchange of the notes and during the 40 VWAP trading day period beginning on the 41st scheduled trading day immediately before the maturity date of the notes, or, to the extent Macerich Partnership exercises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relevant election under the capped call transactions, following any other repurchase of the notes). This activity could also cause, reduce the extent of or avoid an increase or a decrease in the market price of Macerich’s common stock or the notes, which could affect the ability of holders to exchange the notes, and, to the extent the activity occurs during any observation period related to an exchange of notes, it could affect the number of shares of Macerich’s common stock, if any, and value of the consideration that holders will receive upon exchange of the notes. </w:t>
      </w:r>
    </w:p>
    <w:p>
      <w:pPr>
        <w:pStyle w:val="TextBody"/>
        <w:bidi w:val="0"/>
        <w:spacing w:before="240" w:after="0"/>
        <w:jc w:val="left"/>
        <w:rPr>
          <w:rFonts w:ascii="Times New Roman" w:hAnsi="Times New Roman"/>
          <w:sz w:val="20"/>
        </w:rPr>
      </w:pPr>
      <w:r>
        <w:rPr>
          <w:rFonts w:ascii="Times New Roman" w:hAnsi="Times New Roman"/>
          <w:sz w:val="20"/>
        </w:rPr>
        <w:t xml:space="preserve">Macerich Partnership intends to use a portion of the net proceeds from the offering to pay the cost of the capped call transactions, and the remainder of the net proceeds to refinance existing secured debt and for general corporate purposes. If the initial purchasers exercise their option to purchase additional notes, Macerich Partnership expects to use a portion of the proceeds from the sale of the additional notes to enter into additional capped call transactions with the option counterparties. Pending such use, Macerich Partnership may invest the net proceeds in short-term, interest-bearing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notes, the related guarantee and any shares of Macerich’s common stock deliverable upon exchange of the notes have not been registered under the Securities Act or any other securities laws, and the notes, such guarantee and any such shares cannot be offered or sold except pursuant to an exemption from, or in a transaction not subject to, the registration requirements of the Securities Act and any other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Although Macerich Partnership and Macerich intend to enter into a registration rights agreement pursuant to which Macerich will agree to file a resale registration statement under the Securities Act covering the resale of shares of Macerich’s common stock, if any, deliverable upon exchange of the notes, the registration rights agreement will contain significant limitations, and a resale registration statement may not be available at the time investors wish to resell the shares of Macerich’s common stock, if any, deliverable upon exchange of their notes. This press release does not constitute an offer to sell, or the solicitation of an offer to buy, the notes or any shares of Macerich’s common stock deliverable upon exchange of the notes, nor will there be any sale of the notes or any such shares of Macerich’s common stock, in any state or other jurisdiction in which such offer, sale or solicitation would be unlawful.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Macerich </w:t>
      </w:r>
    </w:p>
    <w:p>
      <w:pPr>
        <w:pStyle w:val="TextBody"/>
        <w:bidi w:val="0"/>
        <w:spacing w:before="120" w:after="0"/>
        <w:jc w:val="left"/>
        <w:rPr>
          <w:rFonts w:ascii="Times New Roman" w:hAnsi="Times New Roman"/>
          <w:sz w:val="20"/>
        </w:rPr>
      </w:pPr>
      <w:r>
        <w:rPr>
          <w:rFonts w:ascii="Times New Roman" w:hAnsi="Times New Roman"/>
          <w:sz w:val="20"/>
        </w:rPr>
        <w:t xml:space="preserve">Macerich (NYSE: MAC) is a fully integrated, self-managed, self-administered real estate investment trust (REIT). As a leading owner, operator, and developer of high-quality retail real estate in densely populated and attractive U.S. markets, Macerich’s portfolio is concentrated in California, the Pacific Northwest, Phoenix/Scottsdale, and the Metro New York to Washington, D.C. corridor. Developing and managing properties that serve as community cornerstones, Macerich currently owns approximately 40 million square feet of real estate, consisting primarily of interests in 38 retail centers.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Information set forth in this press release contains “forward-looking statements” (within the meaning of the federal securities laws, Section 27A of the Securities Act of 1933, as amended, and Section 21E of the Securities Exchange Act of 1934, as amended), which reflect Macerich’s expectations regarding future events and plans, including, but not limited to, statements regarding the proposed offering of the notes and the capped call transactions, Macerich’s potential grant to the initial purchasers of an option to purchase additional notes, the completion, timing and size of the offering, the anticipated terms of the notes and the capped call transactions, the expected use of proceeds, and expectations regarding the actions of the option counterparties and their respective affiliates. Generally, the words “expects,” “anticipates,” “projects,” “intends,” “plans,” “believes,” “seeks,” “estimates,” “scheduled,” “predicts,” “may,” “will,” “should,” “could,” variations of such words and similar expressions identify forward-looking statements. The forward-looking statements are based on information currently available to us and involve a number of known and unknown assumptions, risks, uncertainties and other factors, which may be difficult to predict and beyond the control of Macerich, which could cause actual results to differ materially from those contained in the forward-looking statements. These factors include market conditions, including market interest rates and the trading price and volatility of Macerich’s common stock, whether Macerich will consummate the offering and the capped call transactions on the expected terms or at all, and the risks and uncertainties detailed from time to time in Macerich’s filings with the Securities and Exchange Commission (the “SEC”), which are available at the SEC’s website at www.sec.gov. Macerich disclaims any obligation to publicly update or revise any forward-looking statements contained in this press release whether as a result of changes in underlying assumptions or factors, new information, future events or otherwise,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INVESTOR CONTACT</w:t>
      </w:r>
      <w:r>
        <w:rPr>
          <w:rFonts w:ascii="Times New Roman" w:hAnsi="Times New Roman"/>
          <w:sz w:val="20"/>
        </w:rPr>
        <w:t xml:space="preserve">: Investor Relations, </w:t>
      </w:r>
      <w:r>
        <w:rPr>
          <w:rFonts w:ascii="Times New Roman" w:hAnsi="Times New Roman"/>
          <w:sz w:val="20"/>
          <w:u w:val="single"/>
        </w:rPr>
        <w:t>IR@macerich.com</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3" w:name="d106117dex992.htm"/>
      <w:bookmarkStart w:id="14" w:name="ksd106117dex992"/>
      <w:bookmarkEnd w:id="13"/>
      <w:bookmarkEnd w:id="14"/>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Macerich Announces Pricing of Upsized Offering of $675 Million Exchangeable Senior Notes due 2031 </w:t>
      </w:r>
    </w:p>
    <w:p>
      <w:pPr>
        <w:pStyle w:val="TextBody"/>
        <w:bidi w:val="0"/>
        <w:spacing w:before="240" w:after="0"/>
        <w:jc w:val="left"/>
        <w:rPr>
          <w:rFonts w:ascii="Times New Roman" w:hAnsi="Times New Roman"/>
          <w:sz w:val="20"/>
        </w:rPr>
      </w:pPr>
      <w:r>
        <w:rPr>
          <w:rFonts w:ascii="Times New Roman" w:hAnsi="Times New Roman"/>
          <w:b/>
          <w:sz w:val="20"/>
        </w:rPr>
        <w:t>SANTA MONICA, Calif., August</w:t>
      </w:r>
      <w:r>
        <w:rPr>
          <w:rFonts w:ascii="Times New Roman" w:hAnsi="Times New Roman"/>
          <w:sz w:val="20"/>
        </w:rPr>
        <w:t> </w:t>
      </w:r>
      <w:r>
        <w:rPr>
          <w:rFonts w:ascii="Times New Roman" w:hAnsi="Times New Roman"/>
          <w:b/>
          <w:sz w:val="20"/>
        </w:rPr>
        <w:t>7, 2026</w:t>
      </w:r>
      <w:r>
        <w:rPr>
          <w:rFonts w:ascii="Times New Roman" w:hAnsi="Times New Roman"/>
          <w:sz w:val="20"/>
        </w:rPr>
        <w:t xml:space="preserve"> – The Macerich Company (NYSE: MAC) (“Macerich”) announced today that its operating partnership, The Macerich Partnership, L.P. (“Macerich Partnership”), priced its offering of $675 million aggregate principal amount of 2.25% exchangeable senior notes due 2031 (the “notes”) in a private offering to persons reasonably believed to be qualified institutional buyers pursuant to Rule 144A under the Securities Act of 1933, as amended (the “Securities Act”). The offering was upsized from the previously announced offering size of $600 million aggregate principal amount of notes. Macerich will fully and unconditionally guarantee the notes on a senior, unsecured basis. The issuance and sale of the notes are scheduled to settle on August 11, 2026, subject to customary closing conditions. Macerich Partnership also granted the initial purchasers of the notes a 13-day option to purchase up to an additional $100 million aggregate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senior, unsecured obligations of Macerich Partnership, and will accrue interest at a rate of 2.25% per annum, payable semi-annually in arrears on February 15 and August 15 of each year, beginning on February 15, 2027. The notes will mature on August 15, 2031, unless earlier repurchased, exchanged or redeemed. Before May 15, 2031, noteholders will have the right to exchange their notes in certain circumstances and during specified periods. From and after May 15, 2031, noteholders may exchange their notes at any time at their election until the close of business on the second scheduled trading day immediately before the maturity date of the notes. Exchanges will be settled in cash up to the aggregate principal amount of the notes to be exchanged and, if applicable, cash, shares of Macerich’s common stock or a combination thereof, at Macerich Partnership’s election, in respect of the remainder (if any) of Macerich Partnership’s exchange obligations in excess of the aggregate principal amount of the notes being exchanged. The initial exchange rate is 35.4761 shares of Macerich’s common stock per $1,000 principal amount of notes, which represents an initial exchange price of approximately $28.19 per share of Macerich’s common stock. The initial exchange price represents a premium of approximately 20% over the last reported sale price of $23.49 per share of Macerich’s common stock on August 6, 2026. The exchange rate and exchange price of the notes will be subject to adjustment upon the occurrence of certain events.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will be redeemable, in whole or in part (subject to certain limitations), for cash at Macerich Partnership’s option at any time, and from time to time, on or after August 20, 2029 and on or before the 41st scheduled trading day immediately before the maturity date of the notes, but only if the last reported sale price per share of Macerich’s common stock exceeds 130% of the exchange price of the notes for a specified period of time and certain other conditions are satisfied. Macerich Partnership may also redeem the notes, in whole or in part (subject to certain limitations), for cash at any time, and from time to time, if Macerich’s board of directors (or a committee thereof) determines such redemption is necessary to preserve Macerich’s status as a real estate investment trust. In either case, the redemption price will be equal to the principal amount of the notes to be redeemed,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notes will be entitled to the benefits of a registration rights agreement pursuant to which Macerich will agree to register the resale of the shares of Macerich’s common stock, if any, deliverable upon exchange of the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pricing of the notes, Macerich Partnership and Macerich entered into privately negotiated capped call transactions with certain of the initial purchasers of the notes or their respective affiliates and certain other financial institutions (the “option counterparties”). The capped call transactions cover, subject to customary adjustments, the number of shares of Macerich’s common stock initially underlying the notes. The cap price of the capped call transactions will initially be approximately $34.06 per share, which represents a premium of approximately 45% over the last reported sale price of Macerich’s common stock on August 6, 2026, and is subject to certain adjustments under the terms of the capped call transactions. The capped call transactions are expected generally to reduce the potential dilution to Macerich’s common stock upon any exchange of notes and/or offset any cash payments Macerich Partnership is required to make in excess of the principal amount of exchanged notes, as the case may be, with such reduction and/or offset subject to a cap.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Macerich Partnership has been advised that, in connection with establishing their initial hedges of the capped call transactions, the option counterparties or their respective affiliates will enter into various derivative transactions with respect to Macerich’s common stock and/or purchase shares of Macerich’s common stock or other securities of Macerich in secondary market transactions concurrently with, or shortly after, the pricing of the notes, including with, or from, as the case may be, certain investors in the notes. This activity could increase (or reduce the size of any decrease in) the market price of Macerich’s common stock or the notes at that time. In addition, Macerich Partnership expects that the option counterparties or their respective affiliates may modify their hedge positions by entering into or unwinding various derivatives with respect to Macerich’s common stock and/or purchasing or selling Macerich’s common stock or other securities of Macerich or Macerich Partnership in secondary market transactions prior to the maturity of the notes (and are likely to do so following any repurchase of notes by Macerich Partnership on a fundamental change repurchase date, any redemption date or exchange of the notes and during the 40 VWAP trading day period beginning on the 41st scheduled trading day immediately before the maturity date of the notes, or, to the extent Macerich Partnership exercises the relevant election under the capped call transactions, following any other repurchase of the notes). This activity could also cause, reduce the extent of or avoid an increase or a decrease in the market price of Macerich’s common stock or the notes, which could affect the ability of holders to exchange the notes, and, to the extent the activity occurs during any observation period related to an exchange of notes, it could affect the number of shares of Macerich’s common stock, if any, and value of the consideration that holders will receive upon exchange of the notes. </w:t>
      </w:r>
    </w:p>
    <w:p>
      <w:pPr>
        <w:pStyle w:val="TextBody"/>
        <w:bidi w:val="0"/>
        <w:spacing w:before="240" w:after="0"/>
        <w:jc w:val="left"/>
        <w:rPr>
          <w:rFonts w:ascii="Times New Roman" w:hAnsi="Times New Roman"/>
          <w:sz w:val="20"/>
        </w:rPr>
      </w:pPr>
      <w:r>
        <w:rPr>
          <w:rFonts w:ascii="Times New Roman" w:hAnsi="Times New Roman"/>
          <w:sz w:val="20"/>
        </w:rPr>
        <w:t xml:space="preserve">Macerich Partnership estimates that the net proceeds from the offering of the notes will be approximately $659.1 million, (or approximately $757.0 million if the initial purchasers exercise their option to purchase additional notes in full) after deducting the initial purchasers’ discounts and commissions and estimated offering expenses. Macerich Partnership intends to use approximately $39.2 million of the net proceeds from the offering to pay the cost of the capped call transactions (or approximately $45.0 million if the initial purchasers exercise their option to purchase additional notes in full), and the remainder of the net proceeds to refinance existing secured debt and for general corporate purposes. If the initial purchasers exercise their option to purchase additional notes, Macerich Partnership expects to use a portion of the proceeds from the sale of the additional notes to enter into additional capped call transactions with the option counterparties. Pending such use, Macerich Partnership may invest the net proceeds in short-term, interest-bearing deposit accounts.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offer and sale of the notes, the related guarantee and any shares of Macerich’s common stock deliverable upon exchange of the notes have not been registered under the Securities Act or any other securities laws, and the notes, such guarantee and any such shares cannot be offered or sold except pursuant to an exemption from, or in a transaction not subject to, the registration requirements of the Securities Act and any other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Although Macerich Partnership and Macerich intend to enter into a registration rights agreement pursuant to which Macerich will agree to file a resale registration statement under the Securities Act covering the resale of shares of Macerich’s common stock, if any, deliverable upon exchange of the notes, the registration rights agreement will contain significant limitations, and a resale registration statement may not be available at the time investors wish to resell the shares of Macerich’s common stock, if any, deliverable upon exchange of their notes. This press release does not constitute an offer to sell, or the solicitation of an offer to buy, the notes or any shares of Macerich’s common stock deliverable upon exchange of the notes, nor will there be any sale of the notes or any such shares of Macerich’s common stock, in any state or other jurisdiction in which such offer, sale or solicitation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About Macerich </w:t>
      </w:r>
    </w:p>
    <w:p>
      <w:pPr>
        <w:pStyle w:val="TextBody"/>
        <w:bidi w:val="0"/>
        <w:spacing w:before="120" w:after="0"/>
        <w:jc w:val="left"/>
        <w:rPr>
          <w:rFonts w:ascii="Times New Roman" w:hAnsi="Times New Roman"/>
          <w:sz w:val="20"/>
        </w:rPr>
      </w:pPr>
      <w:r>
        <w:rPr>
          <w:rFonts w:ascii="Times New Roman" w:hAnsi="Times New Roman"/>
          <w:sz w:val="20"/>
        </w:rPr>
        <w:t xml:space="preserve">Macerich (NYSE: MAC) is a fully integrated, self-managed, self-administered real estate investment trust (REIT). As a leading owner, operator, and developer of high-quality retail real estate in densely populated and attractive U.S. markets, Macerich’s portfolio is concentrated in California, the Pacific Northwest, Phoenix/Scottsdale, and the Metro New York to Washington, D.C. corridor. Developing and managing properties that serve as community cornerstones, Macerich currently owns approximately 40 million square feet of real estate, consisting primarily of interests in 38 retail centers.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Information set forth in this press release contains “forward-looking statements” (within the meaning of the federal securities laws, Section 27A of the Securities Act of 1933, as amended, and Section 21E of the Securities Exchange Act of 1934, as amended), which reflect Macerich’s expectations regarding future events and plans, including, but not limited to, statements regarding the completion of the offering, the intended use of the net proceeds, expectations regarding the actions of the option counterparties and their respective affiliates and whether the capped call transactions will become effective. Generally, the words “expects,” “anticipates,” “projects,” “intends,” “plans,” “believes,” “seeks,” “estimates,” “scheduled,” “predicts,” “may,” “will,” “should,” “could,” variations of such words and similar expressions identify forward-looking statements. The forward-looking statements are based on information currently available to us and involve a number of known and unknown assumptions, risks, uncertainties and other factors, which may be difficult to predict and beyond the control of Macerich, which could cause actual results to differ materially from those contained in the forward-looking statements. These factors include Macerich’s ability to satisfy the closing conditions to the offering described above, as well as other risks and uncertainties detailed from time to time in Macerich’s filings with the Securities and Exchange Commission (the “SEC”), which are available at the SEC’s website at www.sec.gov. Macerich disclaims any obligation to publicly update or revise any forward-looking statements contained in this press release whether as a result of changes in underlying assumptions or factors,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b/>
          <w:sz w:val="20"/>
        </w:rPr>
        <w:t xml:space="preserve">INVESTOR CONTACT: </w:t>
      </w:r>
      <w:r>
        <w:rPr>
          <w:rFonts w:ascii="Times New Roman" w:hAnsi="Times New Roman"/>
          <w:sz w:val="20"/>
        </w:rPr>
        <w:t xml:space="preserve">Investor Relations, IR@macerich.com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386</Pages>
  <Words>200035</Words>
  <Characters>1056552</Characters>
  <CharactersWithSpaces>1258875</CharactersWithSpaces>
  <Paragraphs>8480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